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079A" w14:textId="77777777" w:rsidR="00D26A84" w:rsidRDefault="00D26A84" w:rsidP="00D26A84">
      <w:pPr>
        <w:jc w:val="center"/>
        <w:rPr>
          <w:rFonts w:ascii="Arial" w:hAnsi="Arial" w:cs="Arial"/>
          <w:b/>
          <w:color w:val="BFBFBF"/>
        </w:rPr>
      </w:pPr>
    </w:p>
    <w:p w14:paraId="0C337F4E" w14:textId="77777777" w:rsidR="00590EC6" w:rsidRPr="00590EC6" w:rsidRDefault="00431A8B" w:rsidP="00590EC6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  <w:lang w:val="es-ES" w:eastAsia="es-ES"/>
        </w:rPr>
      </w:pPr>
      <w:r w:rsidRPr="00ED446F">
        <w:rPr>
          <w:rFonts w:ascii="Arial" w:hAnsi="Arial" w:cs="Arial"/>
          <w:b/>
          <w:color w:val="BFBFBF"/>
        </w:rPr>
        <w:t xml:space="preserve"> </w:t>
      </w:r>
      <w:r w:rsidR="00590EC6" w:rsidRPr="00590EC6">
        <w:rPr>
          <w:rFonts w:ascii="Arial" w:hAnsi="Arial" w:cs="Arial"/>
          <w:b/>
          <w:color w:val="BFBFBF"/>
          <w:sz w:val="26"/>
          <w:szCs w:val="26"/>
          <w:u w:val="single"/>
          <w:lang w:val="es-ES" w:eastAsia="es-ES"/>
        </w:rPr>
        <w:t>NOMBRE UNIDAD/DEPENDENCIA AUTORIDAD ADMINISTRATIVA COMPETENTE</w:t>
      </w:r>
    </w:p>
    <w:p w14:paraId="6225E12A" w14:textId="77777777" w:rsidR="00D26A84" w:rsidRPr="00ED446F" w:rsidRDefault="00D26A84" w:rsidP="00FC235B">
      <w:pPr>
        <w:spacing w:line="360" w:lineRule="auto"/>
        <w:rPr>
          <w:rFonts w:ascii="Arial" w:hAnsi="Arial" w:cs="Arial"/>
          <w:color w:val="A6A6A6" w:themeColor="background1" w:themeShade="A6"/>
        </w:rPr>
      </w:pPr>
    </w:p>
    <w:p w14:paraId="623BFAF9" w14:textId="77777777" w:rsidR="008C1503" w:rsidRDefault="008C1503" w:rsidP="00EA3164">
      <w:pPr>
        <w:jc w:val="both"/>
        <w:rPr>
          <w:lang w:val="es-ES_tradnl"/>
        </w:rPr>
      </w:pPr>
      <w:r>
        <w:rPr>
          <w:rFonts w:ascii="Arial" w:eastAsia="SimSun" w:hAnsi="Arial" w:cs="Arial"/>
          <w:color w:val="BFBFBF" w:themeColor="background1" w:themeShade="BF"/>
        </w:rPr>
        <w:t xml:space="preserve">Ciudad y Fecha (… Se coloca la </w:t>
      </w:r>
      <w:r>
        <w:rPr>
          <w:rFonts w:ascii="Arial" w:hAnsi="Arial" w:cs="Arial"/>
          <w:color w:val="BFBFBF" w:themeColor="background1" w:themeShade="BF"/>
        </w:rPr>
        <w:t xml:space="preserve">Ciudad donde se adelanta la investigación seguida entre paréntesis del Departamento, separados de una coma (,) continua la fecha en letras y números o con fechador </w:t>
      </w:r>
      <w:r>
        <w:rPr>
          <w:rFonts w:ascii="Arial" w:eastAsia="SimSun" w:hAnsi="Arial" w:cs="Arial"/>
          <w:color w:val="BFBFBF" w:themeColor="background1" w:themeShade="BF"/>
        </w:rPr>
        <w:t>…).</w:t>
      </w:r>
    </w:p>
    <w:p w14:paraId="3217FFD2" w14:textId="77777777" w:rsidR="00EA3164" w:rsidRPr="00ED446F" w:rsidRDefault="00EA3164" w:rsidP="00EA3164">
      <w:pPr>
        <w:pStyle w:val="Textoindependiente"/>
        <w:spacing w:line="360" w:lineRule="auto"/>
        <w:ind w:left="-142"/>
        <w:rPr>
          <w:rFonts w:ascii="Arial" w:hAnsi="Arial" w:cs="Arial"/>
        </w:rPr>
      </w:pPr>
      <w:bookmarkStart w:id="0" w:name="_GoBack"/>
      <w:bookmarkEnd w:id="0"/>
    </w:p>
    <w:p w14:paraId="5DBDDB34" w14:textId="31D123FB" w:rsidR="00D26F2F" w:rsidRPr="00CD31E6" w:rsidRDefault="00CC3543" w:rsidP="00EA3164">
      <w:pPr>
        <w:spacing w:after="150" w:line="360" w:lineRule="auto"/>
        <w:jc w:val="both"/>
        <w:rPr>
          <w:rFonts w:ascii="Arial" w:hAnsi="Arial" w:cs="Arial"/>
        </w:rPr>
      </w:pPr>
      <w:r w:rsidRPr="00CD31E6">
        <w:rPr>
          <w:rFonts w:ascii="Arial" w:hAnsi="Arial" w:cs="Arial"/>
        </w:rPr>
        <w:t xml:space="preserve">Habiéndose recibido copia de diligencias obrantes en el proceso </w:t>
      </w:r>
      <w:r w:rsidRPr="00CD31E6">
        <w:rPr>
          <w:rFonts w:ascii="Arial" w:hAnsi="Arial" w:cs="Arial"/>
          <w:color w:val="A6A6A6" w:themeColor="background1" w:themeShade="A6"/>
        </w:rPr>
        <w:t xml:space="preserve">(penal, disciplinario, administrativo) </w:t>
      </w:r>
      <w:r w:rsidRPr="00CD31E6">
        <w:rPr>
          <w:rFonts w:ascii="Arial" w:hAnsi="Arial" w:cs="Arial"/>
        </w:rPr>
        <w:t xml:space="preserve">radicado bajo el No. </w:t>
      </w:r>
      <w:r w:rsidR="009426ED" w:rsidRPr="00CD31E6">
        <w:rPr>
          <w:rFonts w:ascii="Arial" w:hAnsi="Arial" w:cs="Arial"/>
          <w:b/>
          <w:iCs/>
          <w:color w:val="BFBFBF" w:themeColor="background1" w:themeShade="BF"/>
          <w:szCs w:val="20"/>
        </w:rPr>
        <w:t xml:space="preserve">(… </w:t>
      </w:r>
      <w:r w:rsidR="009426ED" w:rsidRPr="00CD31E6">
        <w:rPr>
          <w:rFonts w:ascii="Arial" w:hAnsi="Arial" w:cs="Arial"/>
          <w:iCs/>
          <w:color w:val="BFBFBF" w:themeColor="background1" w:themeShade="BF"/>
          <w:szCs w:val="20"/>
        </w:rPr>
        <w:t>Radicado del Despacho</w:t>
      </w:r>
      <w:r w:rsidR="009426ED" w:rsidRPr="00CD31E6">
        <w:rPr>
          <w:rFonts w:ascii="Arial" w:hAnsi="Arial" w:cs="Arial"/>
          <w:b/>
          <w:iCs/>
          <w:color w:val="BFBFBF" w:themeColor="background1" w:themeShade="BF"/>
          <w:szCs w:val="20"/>
        </w:rPr>
        <w:t xml:space="preserve"> …)</w:t>
      </w:r>
      <w:r w:rsidR="009426ED" w:rsidRPr="00CD31E6">
        <w:rPr>
          <w:rFonts w:ascii="Arial" w:hAnsi="Arial" w:cs="Arial"/>
          <w:iCs/>
          <w:szCs w:val="20"/>
        </w:rPr>
        <w:t>,</w:t>
      </w:r>
      <w:r w:rsidR="009426ED" w:rsidRPr="00CD31E6">
        <w:rPr>
          <w:rFonts w:ascii="Arial" w:hAnsi="Arial" w:cs="Arial"/>
          <w:iCs/>
          <w:sz w:val="20"/>
          <w:szCs w:val="20"/>
        </w:rPr>
        <w:t xml:space="preserve"> </w:t>
      </w:r>
      <w:r w:rsidRPr="00CD31E6">
        <w:rPr>
          <w:rFonts w:ascii="Arial" w:hAnsi="Arial" w:cs="Arial"/>
        </w:rPr>
        <w:t xml:space="preserve">adelantado en el </w:t>
      </w:r>
      <w:r w:rsidRPr="00CD31E6">
        <w:rPr>
          <w:rFonts w:ascii="Arial" w:hAnsi="Arial" w:cs="Arial"/>
          <w:color w:val="A6A6A6" w:themeColor="background1" w:themeShade="A6"/>
        </w:rPr>
        <w:t>(</w:t>
      </w:r>
      <w:r w:rsidR="009426ED" w:rsidRPr="00CD31E6">
        <w:rPr>
          <w:rFonts w:ascii="Arial" w:hAnsi="Arial" w:cs="Arial"/>
          <w:color w:val="A6A6A6" w:themeColor="background1" w:themeShade="A6"/>
        </w:rPr>
        <w:t xml:space="preserve">… Se indica claramente la </w:t>
      </w:r>
      <w:r w:rsidRPr="00CD31E6">
        <w:rPr>
          <w:rFonts w:ascii="Arial" w:hAnsi="Arial" w:cs="Arial"/>
          <w:color w:val="A6A6A6" w:themeColor="background1" w:themeShade="A6"/>
        </w:rPr>
        <w:t xml:space="preserve">Unidad </w:t>
      </w:r>
      <w:r w:rsidR="00D26F2F" w:rsidRPr="00CD31E6">
        <w:rPr>
          <w:rFonts w:ascii="Arial" w:hAnsi="Arial" w:cs="Arial"/>
          <w:color w:val="A6A6A6" w:themeColor="background1" w:themeShade="A6"/>
        </w:rPr>
        <w:t xml:space="preserve">o autoridad </w:t>
      </w:r>
      <w:r w:rsidRPr="00CD31E6">
        <w:rPr>
          <w:rFonts w:ascii="Arial" w:hAnsi="Arial" w:cs="Arial"/>
          <w:color w:val="A6A6A6" w:themeColor="background1" w:themeShade="A6"/>
        </w:rPr>
        <w:t>correspondiente</w:t>
      </w:r>
      <w:r w:rsidR="009426ED" w:rsidRPr="00CD31E6">
        <w:rPr>
          <w:rFonts w:ascii="Arial" w:hAnsi="Arial" w:cs="Arial"/>
          <w:color w:val="A6A6A6" w:themeColor="background1" w:themeShade="A6"/>
        </w:rPr>
        <w:t xml:space="preserve"> ya sea que se trate de un Juzgado o unidad militar</w:t>
      </w:r>
      <w:r w:rsidRPr="00CD31E6">
        <w:rPr>
          <w:rFonts w:ascii="Arial" w:hAnsi="Arial" w:cs="Arial"/>
          <w:color w:val="A6A6A6" w:themeColor="background1" w:themeShade="A6"/>
        </w:rPr>
        <w:t>)</w:t>
      </w:r>
      <w:r w:rsidRPr="00CD31E6">
        <w:rPr>
          <w:rFonts w:ascii="Arial" w:hAnsi="Arial" w:cs="Arial"/>
        </w:rPr>
        <w:t xml:space="preserve">, </w:t>
      </w:r>
      <w:r w:rsidR="00D26F2F" w:rsidRPr="00CD31E6">
        <w:rPr>
          <w:rFonts w:ascii="Arial" w:hAnsi="Arial" w:cs="Arial"/>
        </w:rPr>
        <w:t xml:space="preserve">ordenadas como prueba trasladada </w:t>
      </w:r>
      <w:r w:rsidRPr="00CD31E6">
        <w:rPr>
          <w:rFonts w:ascii="Arial" w:hAnsi="Arial" w:cs="Arial"/>
        </w:rPr>
        <w:t xml:space="preserve">en este trámite adelantado al señor </w:t>
      </w:r>
      <w:r w:rsidR="009426ED" w:rsidRPr="00CD31E6">
        <w:rPr>
          <w:rFonts w:ascii="Arial" w:hAnsi="Arial" w:cs="Arial"/>
          <w:color w:val="BFBFBF" w:themeColor="background1" w:themeShade="BF"/>
          <w:lang w:val="es-ES_tradnl"/>
        </w:rPr>
        <w:t>(…Grado, Nombres, Apellidos y Cargo del funcionario que se investiga…)</w:t>
      </w:r>
      <w:r w:rsidRPr="00CD31E6">
        <w:rPr>
          <w:rFonts w:ascii="Arial" w:hAnsi="Arial" w:cs="Arial"/>
        </w:rPr>
        <w:t xml:space="preserve">, </w:t>
      </w:r>
      <w:r w:rsidR="00921199" w:rsidRPr="00921199">
        <w:rPr>
          <w:rFonts w:ascii="Arial" w:hAnsi="Arial" w:cs="Arial"/>
        </w:rPr>
        <w:t>con radicado único SIDAE N°</w:t>
      </w:r>
      <w:r w:rsidR="009426ED" w:rsidRPr="00CD31E6">
        <w:rPr>
          <w:rFonts w:ascii="Arial" w:hAnsi="Arial" w:cs="Arial"/>
          <w:b/>
          <w:iCs/>
          <w:color w:val="BFBFBF" w:themeColor="background1" w:themeShade="BF"/>
          <w:szCs w:val="20"/>
        </w:rPr>
        <w:t>(</w:t>
      </w:r>
      <w:r w:rsidR="00AF0262" w:rsidRPr="00AF0262">
        <w:rPr>
          <w:rFonts w:ascii="Arial" w:hAnsi="Arial" w:cs="Arial"/>
          <w:b/>
          <w:iCs/>
          <w:color w:val="BFBFBF" w:themeColor="background1" w:themeShade="BF"/>
          <w:szCs w:val="20"/>
        </w:rPr>
        <w:t>“</w:t>
      </w:r>
      <w:r w:rsidR="00AF0262" w:rsidRPr="00A36CDC">
        <w:rPr>
          <w:rFonts w:ascii="Arial" w:hAnsi="Arial" w:cs="Arial"/>
          <w:iCs/>
          <w:color w:val="BFBFBF" w:themeColor="background1" w:themeShade="BF"/>
          <w:szCs w:val="20"/>
        </w:rPr>
        <w:t>se cita el numero radicado proceso que asigna la plataforma SIJEN</w:t>
      </w:r>
      <w:r w:rsidR="009426ED" w:rsidRPr="00CD31E6">
        <w:rPr>
          <w:rFonts w:ascii="Arial" w:hAnsi="Arial" w:cs="Arial"/>
          <w:b/>
          <w:iCs/>
          <w:color w:val="BFBFBF" w:themeColor="background1" w:themeShade="BF"/>
          <w:szCs w:val="20"/>
        </w:rPr>
        <w:t xml:space="preserve">) </w:t>
      </w:r>
      <w:r w:rsidRPr="00CD31E6">
        <w:rPr>
          <w:rFonts w:ascii="Arial" w:hAnsi="Arial" w:cs="Arial"/>
        </w:rPr>
        <w:t>de acuerdo a lo ordenado mediante</w:t>
      </w:r>
      <w:r w:rsidR="00D26F2F" w:rsidRPr="00CD31E6">
        <w:rPr>
          <w:rFonts w:ascii="Arial" w:hAnsi="Arial" w:cs="Arial"/>
        </w:rPr>
        <w:t xml:space="preserve"> </w:t>
      </w:r>
      <w:r w:rsidR="00056C1A">
        <w:rPr>
          <w:rFonts w:ascii="Arial" w:hAnsi="Arial" w:cs="Arial"/>
        </w:rPr>
        <w:t>a</w:t>
      </w:r>
      <w:r w:rsidRPr="00CD31E6">
        <w:rPr>
          <w:rFonts w:ascii="Arial" w:hAnsi="Arial" w:cs="Arial"/>
        </w:rPr>
        <w:t xml:space="preserve">uto de fecha </w:t>
      </w:r>
      <w:r w:rsidR="009426ED" w:rsidRPr="00CD31E6">
        <w:rPr>
          <w:rFonts w:ascii="Arial" w:hAnsi="Arial" w:cs="Arial"/>
          <w:color w:val="BFBFBF" w:themeColor="background1" w:themeShade="BF"/>
        </w:rPr>
        <w:t xml:space="preserve">(… Se establece la fecha </w:t>
      </w:r>
      <w:r w:rsidR="009426ED" w:rsidRPr="00CD31E6">
        <w:rPr>
          <w:rFonts w:ascii="Arial" w:hAnsi="Arial" w:cs="Arial"/>
          <w:i/>
          <w:color w:val="BFBFBF" w:themeColor="background1" w:themeShade="BF"/>
        </w:rPr>
        <w:t>(Día, Mes y Año…)</w:t>
      </w:r>
      <w:r w:rsidRPr="00CD31E6">
        <w:rPr>
          <w:rFonts w:ascii="Arial" w:hAnsi="Arial" w:cs="Arial"/>
        </w:rPr>
        <w:t xml:space="preserve">, visible a folios </w:t>
      </w:r>
      <w:r w:rsidRPr="00CD31E6">
        <w:rPr>
          <w:rFonts w:ascii="Arial" w:hAnsi="Arial" w:cs="Arial"/>
          <w:color w:val="BFBFBF" w:themeColor="background1" w:themeShade="BF"/>
        </w:rPr>
        <w:t>XX</w:t>
      </w:r>
      <w:r w:rsidRPr="00CD31E6">
        <w:rPr>
          <w:rFonts w:ascii="Arial" w:hAnsi="Arial" w:cs="Arial"/>
        </w:rPr>
        <w:t xml:space="preserve"> </w:t>
      </w:r>
      <w:r w:rsidR="00056C1A">
        <w:rPr>
          <w:rFonts w:ascii="Arial" w:hAnsi="Arial" w:cs="Arial"/>
        </w:rPr>
        <w:t xml:space="preserve">del </w:t>
      </w:r>
      <w:r w:rsidRPr="00CD31E6">
        <w:rPr>
          <w:rFonts w:ascii="Arial" w:hAnsi="Arial" w:cs="Arial"/>
        </w:rPr>
        <w:t>C.O.</w:t>
      </w:r>
      <w:r w:rsidRPr="00CD31E6">
        <w:rPr>
          <w:rFonts w:ascii="Arial" w:hAnsi="Arial" w:cs="Arial"/>
          <w:color w:val="BFBFBF" w:themeColor="background1" w:themeShade="BF"/>
        </w:rPr>
        <w:t>XX</w:t>
      </w:r>
      <w:r w:rsidRPr="00CD31E6">
        <w:rPr>
          <w:rFonts w:ascii="Arial" w:hAnsi="Arial" w:cs="Arial"/>
        </w:rPr>
        <w:t xml:space="preserve">, </w:t>
      </w:r>
      <w:r w:rsidRPr="00CD31E6">
        <w:rPr>
          <w:rFonts w:ascii="Arial" w:hAnsi="Arial" w:cs="Arial"/>
          <w:b/>
        </w:rPr>
        <w:t>CÓRRASE TRASLADO</w:t>
      </w:r>
      <w:r w:rsidRPr="00CD31E6">
        <w:rPr>
          <w:rFonts w:ascii="Arial" w:hAnsi="Arial" w:cs="Arial"/>
        </w:rPr>
        <w:t xml:space="preserve"> al investigado</w:t>
      </w:r>
      <w:r w:rsidR="009426ED" w:rsidRPr="00CD31E6">
        <w:rPr>
          <w:rFonts w:ascii="Arial" w:hAnsi="Arial" w:cs="Arial"/>
        </w:rPr>
        <w:t xml:space="preserve"> </w:t>
      </w:r>
      <w:r w:rsidRPr="00CD31E6">
        <w:rPr>
          <w:rFonts w:ascii="Arial" w:hAnsi="Arial" w:cs="Arial"/>
        </w:rPr>
        <w:t>(s) y a su defensor</w:t>
      </w:r>
      <w:r w:rsidR="009426ED" w:rsidRPr="00CD31E6">
        <w:rPr>
          <w:rFonts w:ascii="Arial" w:hAnsi="Arial" w:cs="Arial"/>
        </w:rPr>
        <w:t xml:space="preserve"> </w:t>
      </w:r>
      <w:r w:rsidRPr="00CD31E6">
        <w:rPr>
          <w:rFonts w:ascii="Arial" w:hAnsi="Arial" w:cs="Arial"/>
        </w:rPr>
        <w:t xml:space="preserve">(es) de las mismas, </w:t>
      </w:r>
      <w:r w:rsidR="00D26F2F" w:rsidRPr="00CD31E6">
        <w:rPr>
          <w:rFonts w:ascii="Arial" w:hAnsi="Arial" w:cs="Arial"/>
        </w:rPr>
        <w:t>para garantizar su derecho de contradicción y defensa conforme a lo establecido en el artículo 50</w:t>
      </w:r>
      <w:r w:rsidR="00D26F2F" w:rsidRPr="00CD31E6">
        <w:rPr>
          <w:rStyle w:val="Refdenotaalpie"/>
          <w:rFonts w:ascii="Arial" w:hAnsi="Arial" w:cs="Arial"/>
        </w:rPr>
        <w:footnoteReference w:id="1"/>
      </w:r>
      <w:r w:rsidR="00D26F2F" w:rsidRPr="00CD31E6">
        <w:rPr>
          <w:rFonts w:ascii="Arial" w:hAnsi="Arial" w:cs="Arial"/>
        </w:rPr>
        <w:t xml:space="preserve"> de la ley 1476 de 2011, en concordancia con el artículo 174</w:t>
      </w:r>
      <w:r w:rsidR="00D26F2F" w:rsidRPr="00CD31E6">
        <w:rPr>
          <w:rStyle w:val="Refdenotaalpie"/>
          <w:rFonts w:ascii="Arial" w:hAnsi="Arial" w:cs="Arial"/>
        </w:rPr>
        <w:footnoteReference w:id="2"/>
      </w:r>
      <w:r w:rsidR="00D26F2F" w:rsidRPr="00CD31E6">
        <w:rPr>
          <w:rFonts w:ascii="Arial" w:hAnsi="Arial" w:cs="Arial"/>
        </w:rPr>
        <w:t xml:space="preserve"> de la Ley 1564 de 2012.</w:t>
      </w:r>
    </w:p>
    <w:p w14:paraId="578F3168" w14:textId="77777777" w:rsidR="00A515D8" w:rsidRPr="00CD31E6" w:rsidRDefault="00A515D8" w:rsidP="00431A8B">
      <w:pPr>
        <w:spacing w:after="150" w:line="360" w:lineRule="auto"/>
        <w:ind w:left="-851"/>
        <w:jc w:val="both"/>
        <w:rPr>
          <w:rFonts w:ascii="Arial" w:hAnsi="Arial" w:cs="Arial"/>
        </w:rPr>
      </w:pPr>
    </w:p>
    <w:p w14:paraId="2B67429E" w14:textId="77777777" w:rsidR="00CC3543" w:rsidRPr="00CD31E6" w:rsidRDefault="00D26F2F" w:rsidP="00EA3164">
      <w:pPr>
        <w:spacing w:after="150" w:line="360" w:lineRule="auto"/>
        <w:jc w:val="both"/>
        <w:rPr>
          <w:rFonts w:ascii="Arial" w:hAnsi="Arial" w:cs="Arial"/>
        </w:rPr>
      </w:pPr>
      <w:r w:rsidRPr="00CD31E6">
        <w:rPr>
          <w:rFonts w:ascii="Arial" w:hAnsi="Arial" w:cs="Arial"/>
        </w:rPr>
        <w:t xml:space="preserve">Para el efecto se relacionan las pruebas documentales allegadas por la precitada autoridad, </w:t>
      </w:r>
      <w:r w:rsidR="00ED446F" w:rsidRPr="00CD31E6">
        <w:rPr>
          <w:rFonts w:ascii="Arial" w:hAnsi="Arial" w:cs="Arial"/>
        </w:rPr>
        <w:t>así</w:t>
      </w:r>
      <w:r w:rsidR="00CC3543" w:rsidRPr="00CD31E6">
        <w:rPr>
          <w:rFonts w:ascii="Arial" w:hAnsi="Arial" w:cs="Arial"/>
        </w:rPr>
        <w:t>:</w:t>
      </w:r>
      <w:r w:rsidR="00CC3543" w:rsidRPr="00CD31E6">
        <w:rPr>
          <w:rFonts w:ascii="Arial" w:hAnsi="Arial" w:cs="Arial"/>
          <w:color w:val="A6A6A6" w:themeColor="background1" w:themeShade="A6"/>
        </w:rPr>
        <w:t xml:space="preserve"> (relacionar cada una de las pruebas allegadas) </w:t>
      </w:r>
      <w:r w:rsidR="00CC3543" w:rsidRPr="00CD31E6">
        <w:rPr>
          <w:rFonts w:ascii="Arial" w:hAnsi="Arial" w:cs="Arial"/>
        </w:rPr>
        <w:t xml:space="preserve">en </w:t>
      </w:r>
      <w:r w:rsidR="00CC3543" w:rsidRPr="00CD31E6">
        <w:rPr>
          <w:rFonts w:ascii="Arial" w:hAnsi="Arial" w:cs="Arial"/>
          <w:i/>
          <w:color w:val="A6A6A6" w:themeColor="background1" w:themeShade="A6"/>
        </w:rPr>
        <w:t>(</w:t>
      </w:r>
      <w:r w:rsidR="00CC3543" w:rsidRPr="00CD31E6">
        <w:rPr>
          <w:rFonts w:ascii="Arial" w:hAnsi="Arial" w:cs="Arial"/>
          <w:color w:val="A6A6A6" w:themeColor="background1" w:themeShade="A6"/>
        </w:rPr>
        <w:t>cantidad de folios recibidos como prueba para trasladar</w:t>
      </w:r>
      <w:r w:rsidR="00CC3543" w:rsidRPr="00CD31E6">
        <w:rPr>
          <w:rFonts w:ascii="Arial" w:hAnsi="Arial" w:cs="Arial"/>
          <w:i/>
          <w:color w:val="A6A6A6" w:themeColor="background1" w:themeShade="A6"/>
        </w:rPr>
        <w:t>)</w:t>
      </w:r>
      <w:r w:rsidR="00CC3543" w:rsidRPr="00CD31E6">
        <w:rPr>
          <w:rFonts w:ascii="Arial" w:hAnsi="Arial" w:cs="Arial"/>
        </w:rPr>
        <w:t xml:space="preserve">, que son incorporadas al cuaderno original </w:t>
      </w:r>
      <w:r w:rsidRPr="00CD31E6">
        <w:rPr>
          <w:rFonts w:ascii="Arial" w:hAnsi="Arial" w:cs="Arial"/>
          <w:color w:val="A6A6A6" w:themeColor="background1" w:themeShade="A6"/>
        </w:rPr>
        <w:t xml:space="preserve">(o anexo según se considere) </w:t>
      </w:r>
      <w:r w:rsidR="00CC3543" w:rsidRPr="00CD31E6">
        <w:rPr>
          <w:rFonts w:ascii="Arial" w:hAnsi="Arial" w:cs="Arial"/>
        </w:rPr>
        <w:t xml:space="preserve">de este proceso </w:t>
      </w:r>
      <w:r w:rsidR="00D35294" w:rsidRPr="00CD31E6">
        <w:rPr>
          <w:rFonts w:ascii="Arial" w:hAnsi="Arial" w:cs="Arial"/>
          <w:i/>
          <w:color w:val="A6A6A6" w:themeColor="background1" w:themeShade="A6"/>
        </w:rPr>
        <w:t>(F</w:t>
      </w:r>
      <w:r w:rsidR="00CC3543" w:rsidRPr="00CD31E6">
        <w:rPr>
          <w:rFonts w:ascii="Arial" w:hAnsi="Arial" w:cs="Arial"/>
          <w:i/>
          <w:color w:val="A6A6A6" w:themeColor="background1" w:themeShade="A6"/>
        </w:rPr>
        <w:t>ls. XX C.O. XX)</w:t>
      </w:r>
      <w:r w:rsidR="00ED446F" w:rsidRPr="00CD31E6">
        <w:rPr>
          <w:rFonts w:ascii="Arial" w:hAnsi="Arial" w:cs="Arial"/>
        </w:rPr>
        <w:t>.</w:t>
      </w:r>
    </w:p>
    <w:p w14:paraId="33736717" w14:textId="77777777" w:rsidR="00CC3543" w:rsidRPr="00ED446F" w:rsidRDefault="00CC3543" w:rsidP="00431A8B">
      <w:pPr>
        <w:spacing w:line="360" w:lineRule="auto"/>
        <w:ind w:left="-851"/>
        <w:jc w:val="both"/>
        <w:rPr>
          <w:rFonts w:ascii="Arial" w:hAnsi="Arial" w:cs="Arial"/>
        </w:rPr>
      </w:pPr>
    </w:p>
    <w:p w14:paraId="6D469FF7" w14:textId="77777777" w:rsidR="00CC3543" w:rsidRPr="00DA4E25" w:rsidRDefault="00D35294" w:rsidP="00EA3164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A4E25">
        <w:rPr>
          <w:rFonts w:ascii="Arial" w:hAnsi="Arial" w:cs="Arial"/>
          <w:b/>
          <w:sz w:val="26"/>
          <w:szCs w:val="26"/>
        </w:rPr>
        <w:t>COMUNÍQUESE</w:t>
      </w:r>
      <w:r w:rsidR="00CC3543" w:rsidRPr="00DA4E25">
        <w:rPr>
          <w:rFonts w:ascii="Arial" w:hAnsi="Arial" w:cs="Arial"/>
          <w:b/>
          <w:sz w:val="26"/>
          <w:szCs w:val="26"/>
        </w:rPr>
        <w:t xml:space="preserve"> Y CÚMPLASE.</w:t>
      </w:r>
    </w:p>
    <w:p w14:paraId="0F7AC0B9" w14:textId="77777777" w:rsidR="00AE2754" w:rsidRPr="00ED446F" w:rsidRDefault="00AE2754" w:rsidP="00FC235B">
      <w:pPr>
        <w:rPr>
          <w:rFonts w:ascii="Arial" w:eastAsia="Calibri" w:hAnsi="Arial" w:cs="Arial"/>
        </w:rPr>
      </w:pPr>
    </w:p>
    <w:p w14:paraId="73403047" w14:textId="77777777" w:rsidR="00A515D8" w:rsidRPr="00E86DA7" w:rsidRDefault="00A515D8" w:rsidP="00A515D8">
      <w:pPr>
        <w:pStyle w:val="Ttulo"/>
        <w:spacing w:line="360" w:lineRule="auto"/>
        <w:ind w:right="51"/>
        <w:rPr>
          <w:rFonts w:ascii="Arial" w:hAnsi="Arial" w:cs="Arial"/>
          <w:color w:val="BFBFBF"/>
          <w:sz w:val="24"/>
          <w:szCs w:val="26"/>
        </w:rPr>
      </w:pPr>
      <w:r w:rsidRPr="00E86DA7">
        <w:rPr>
          <w:rFonts w:ascii="Arial" w:hAnsi="Arial" w:cs="Arial"/>
          <w:color w:val="BFBFBF"/>
          <w:sz w:val="24"/>
          <w:szCs w:val="26"/>
        </w:rPr>
        <w:t>(… Grado, Nombres y Apellidos Funcionario Competente …)</w:t>
      </w:r>
    </w:p>
    <w:p w14:paraId="0089010B" w14:textId="77777777" w:rsidR="00A515D8" w:rsidRPr="00E86DA7" w:rsidRDefault="00A515D8" w:rsidP="00A515D8">
      <w:pPr>
        <w:pStyle w:val="Ttulo"/>
        <w:spacing w:line="360" w:lineRule="auto"/>
        <w:ind w:right="51"/>
        <w:rPr>
          <w:rFonts w:ascii="Arial" w:hAnsi="Arial" w:cs="Arial"/>
          <w:b/>
          <w:color w:val="BFBFBF"/>
          <w:sz w:val="24"/>
          <w:szCs w:val="26"/>
        </w:rPr>
      </w:pPr>
      <w:r w:rsidRPr="00E86DA7">
        <w:rPr>
          <w:rFonts w:ascii="Arial" w:hAnsi="Arial" w:cs="Arial"/>
          <w:color w:val="BFBFBF"/>
          <w:sz w:val="24"/>
          <w:szCs w:val="26"/>
        </w:rPr>
        <w:t>(… Cargo del Funcionario Competente …)</w:t>
      </w:r>
    </w:p>
    <w:p w14:paraId="22F9B02E" w14:textId="77777777" w:rsidR="00A515D8" w:rsidRPr="00E86DA7" w:rsidRDefault="00A515D8" w:rsidP="00A515D8">
      <w:pPr>
        <w:pStyle w:val="Ttulo"/>
        <w:spacing w:line="360" w:lineRule="auto"/>
        <w:ind w:right="51"/>
        <w:rPr>
          <w:rFonts w:ascii="Arial" w:hAnsi="Arial" w:cs="Arial"/>
          <w:sz w:val="24"/>
          <w:szCs w:val="26"/>
        </w:rPr>
      </w:pPr>
      <w:r w:rsidRPr="00E86DA7">
        <w:rPr>
          <w:rFonts w:ascii="Arial" w:hAnsi="Arial" w:cs="Arial"/>
          <w:sz w:val="24"/>
          <w:szCs w:val="26"/>
        </w:rPr>
        <w:t>Funcionario Competente</w:t>
      </w:r>
    </w:p>
    <w:p w14:paraId="5FE89C7E" w14:textId="77777777" w:rsidR="00A515D8" w:rsidRPr="00AC091D" w:rsidRDefault="00A515D8" w:rsidP="00A515D8">
      <w:pPr>
        <w:pStyle w:val="Ttulo"/>
        <w:spacing w:line="360" w:lineRule="auto"/>
        <w:ind w:right="51"/>
        <w:rPr>
          <w:rFonts w:ascii="Century Gothic" w:hAnsi="Century Gothic"/>
          <w:sz w:val="24"/>
          <w:szCs w:val="24"/>
        </w:rPr>
      </w:pPr>
    </w:p>
    <w:p w14:paraId="2CBA4BD7" w14:textId="77777777" w:rsidR="00F75145" w:rsidRDefault="00F75145" w:rsidP="00EA3164">
      <w:pPr>
        <w:pStyle w:val="Ttulo1"/>
        <w:spacing w:line="360" w:lineRule="auto"/>
        <w:jc w:val="left"/>
        <w:rPr>
          <w:rFonts w:ascii="Arial" w:hAnsi="Arial" w:cs="Arial"/>
          <w:b/>
          <w:bCs/>
          <w:sz w:val="16"/>
        </w:rPr>
      </w:pPr>
    </w:p>
    <w:p w14:paraId="79C8738F" w14:textId="2CBEBF36" w:rsidR="00A515D8" w:rsidRPr="00584392" w:rsidRDefault="00A515D8" w:rsidP="00EA3164">
      <w:pPr>
        <w:pStyle w:val="Ttulo1"/>
        <w:spacing w:line="360" w:lineRule="auto"/>
        <w:jc w:val="left"/>
        <w:rPr>
          <w:rFonts w:ascii="Arial" w:hAnsi="Arial" w:cs="Arial"/>
          <w:b/>
          <w:bCs/>
          <w:sz w:val="16"/>
        </w:rPr>
      </w:pPr>
      <w:r w:rsidRPr="00584392">
        <w:rPr>
          <w:rFonts w:ascii="Arial" w:hAnsi="Arial" w:cs="Arial"/>
          <w:b/>
          <w:bCs/>
          <w:sz w:val="16"/>
        </w:rPr>
        <w:t>Proyectó y Elaboró:</w:t>
      </w:r>
    </w:p>
    <w:p w14:paraId="1A063F1F" w14:textId="77777777" w:rsidR="00A515D8" w:rsidRPr="00584392" w:rsidRDefault="00A515D8" w:rsidP="00EA3164">
      <w:pPr>
        <w:pStyle w:val="Ttulo1"/>
        <w:spacing w:line="360" w:lineRule="auto"/>
        <w:jc w:val="left"/>
        <w:rPr>
          <w:rFonts w:ascii="Arial" w:hAnsi="Arial" w:cs="Arial"/>
          <w:color w:val="BFBFBF"/>
          <w:sz w:val="16"/>
        </w:rPr>
      </w:pPr>
      <w:r w:rsidRPr="00584392">
        <w:rPr>
          <w:rFonts w:ascii="Arial" w:hAnsi="Arial" w:cs="Arial"/>
          <w:color w:val="BFBFBF"/>
          <w:sz w:val="16"/>
        </w:rPr>
        <w:t>(…Grado, Nombres, Apellidos y Cargo del Funcionario que proyectó y elaboró la providencia …)</w:t>
      </w:r>
    </w:p>
    <w:p w14:paraId="7CB039A3" w14:textId="77777777" w:rsidR="00732D0B" w:rsidRDefault="00732D0B" w:rsidP="00EA3164">
      <w:pPr>
        <w:pStyle w:val="Ttulo1"/>
        <w:spacing w:line="360" w:lineRule="auto"/>
        <w:jc w:val="left"/>
        <w:rPr>
          <w:rFonts w:ascii="Arial" w:hAnsi="Arial" w:cs="Arial"/>
          <w:b/>
          <w:bCs/>
          <w:sz w:val="16"/>
        </w:rPr>
      </w:pPr>
    </w:p>
    <w:p w14:paraId="0FA016F5" w14:textId="77777777" w:rsidR="007041F9" w:rsidRPr="007041F9" w:rsidRDefault="007041F9" w:rsidP="007041F9">
      <w:pPr>
        <w:rPr>
          <w:lang w:eastAsia="es-ES"/>
        </w:rPr>
      </w:pPr>
    </w:p>
    <w:p w14:paraId="0B9D687C" w14:textId="77777777" w:rsidR="00A515D8" w:rsidRPr="00584392" w:rsidRDefault="00A515D8" w:rsidP="00EA3164">
      <w:pPr>
        <w:pStyle w:val="Ttulo1"/>
        <w:spacing w:line="360" w:lineRule="auto"/>
        <w:jc w:val="left"/>
        <w:rPr>
          <w:rFonts w:ascii="Arial" w:hAnsi="Arial" w:cs="Arial"/>
          <w:b/>
          <w:bCs/>
          <w:sz w:val="16"/>
        </w:rPr>
      </w:pPr>
      <w:r w:rsidRPr="00584392">
        <w:rPr>
          <w:rFonts w:ascii="Arial" w:hAnsi="Arial" w:cs="Arial"/>
          <w:b/>
          <w:bCs/>
          <w:sz w:val="16"/>
        </w:rPr>
        <w:t>Revisó y Aprobó:</w:t>
      </w:r>
    </w:p>
    <w:p w14:paraId="30BE085B" w14:textId="77777777" w:rsidR="00A515D8" w:rsidRPr="00584392" w:rsidRDefault="00A515D8" w:rsidP="00EA3164">
      <w:pPr>
        <w:pStyle w:val="Ttulo1"/>
        <w:spacing w:line="360" w:lineRule="auto"/>
        <w:jc w:val="left"/>
        <w:rPr>
          <w:rFonts w:ascii="Arial" w:hAnsi="Arial" w:cs="Arial"/>
          <w:color w:val="BFBFBF"/>
          <w:sz w:val="16"/>
        </w:rPr>
      </w:pPr>
      <w:r w:rsidRPr="00584392">
        <w:rPr>
          <w:rFonts w:ascii="Arial" w:hAnsi="Arial" w:cs="Arial"/>
          <w:color w:val="BFBFBF"/>
          <w:sz w:val="16"/>
        </w:rPr>
        <w:t>(…Grado, Nombres, Apellidos y Cargo del Funcionario que revisó y aprobó la providencia …)</w:t>
      </w:r>
    </w:p>
    <w:p w14:paraId="6B415E00" w14:textId="77777777" w:rsidR="00A7347B" w:rsidRDefault="00A7347B" w:rsidP="00A7347B">
      <w:pPr>
        <w:spacing w:after="160" w:line="259" w:lineRule="auto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</w:p>
    <w:p w14:paraId="45C0181E" w14:textId="77777777" w:rsidR="003550CC" w:rsidRPr="002C7191" w:rsidRDefault="003550CC" w:rsidP="00A7347B">
      <w:pPr>
        <w:spacing w:after="160" w:line="259" w:lineRule="auto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  <w:t>PARÁMETROS DE PRESENTACIÓN DEL TEXTO:</w:t>
      </w:r>
    </w:p>
    <w:p w14:paraId="756A02F3" w14:textId="77777777" w:rsidR="003550CC" w:rsidRPr="002C7191" w:rsidRDefault="003550CC" w:rsidP="003550CC">
      <w:pPr>
        <w:pStyle w:val="Ttulo"/>
        <w:spacing w:line="360" w:lineRule="auto"/>
        <w:ind w:left="567" w:hanging="567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</w:p>
    <w:p w14:paraId="7F000C20" w14:textId="77777777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>El tamaño de la hoja en que se trabajará el formato será Oficio.</w:t>
      </w:r>
    </w:p>
    <w:p w14:paraId="3FDE1E89" w14:textId="77777777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>La letra a utilizar en el formato será Arial tamaño 12 para los textos y Arial tamaño 13 para los títulos o acápites.</w:t>
      </w:r>
    </w:p>
    <w:p w14:paraId="474651CC" w14:textId="62E5C98B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Las citas de normas, doctrina y/o jurisprudencia se hará en Time New </w:t>
      </w:r>
      <w:r w:rsidR="00383067" w:rsidRPr="002C7191">
        <w:rPr>
          <w:rFonts w:ascii="Arial" w:hAnsi="Arial" w:cs="Arial"/>
          <w:color w:val="BFBFBF" w:themeColor="background1" w:themeShade="BF"/>
          <w:sz w:val="22"/>
          <w:szCs w:val="22"/>
        </w:rPr>
        <w:t>Román</w:t>
      </w: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 tamaño 12, en cursiva y dentro de paréntesis. Ej: </w:t>
      </w:r>
      <w:r w:rsidRPr="002C7191">
        <w:rPr>
          <w:rFonts w:ascii="Arial" w:hAnsi="Arial" w:cs="Arial"/>
          <w:i/>
          <w:iCs/>
          <w:color w:val="BFBFBF" w:themeColor="background1" w:themeShade="BF"/>
          <w:sz w:val="22"/>
          <w:szCs w:val="22"/>
        </w:rPr>
        <w:t>“(…) XXXXXX (…)”</w:t>
      </w: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>.</w:t>
      </w:r>
    </w:p>
    <w:p w14:paraId="6FBCEBC1" w14:textId="2471BC1B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Las Notas de Referencias o Pié de Páginas serán en Time New </w:t>
      </w:r>
      <w:r w:rsidR="00383067" w:rsidRPr="002C7191">
        <w:rPr>
          <w:rFonts w:ascii="Arial" w:hAnsi="Arial" w:cs="Arial"/>
          <w:color w:val="BFBFBF" w:themeColor="background1" w:themeShade="BF"/>
          <w:sz w:val="22"/>
          <w:szCs w:val="22"/>
        </w:rPr>
        <w:t>Román</w:t>
      </w: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 tamaño 8, Cursiva.</w:t>
      </w:r>
    </w:p>
    <w:p w14:paraId="3DAD337D" w14:textId="77777777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14:paraId="389D1D4D" w14:textId="77777777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>Los títulos o acápites de las providencias deberán ir en mayúscula, negrita y subrayado, sin ningún tipo de numeración.</w:t>
      </w:r>
    </w:p>
    <w:p w14:paraId="7E79D31C" w14:textId="3A4A0CC9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Los párrafos que conforman cada uno de los acápites de la providencia, no tendrán sangría, </w:t>
      </w:r>
      <w:r w:rsidR="00383067" w:rsidRPr="002C7191">
        <w:rPr>
          <w:rFonts w:ascii="Arial" w:hAnsi="Arial" w:cs="Arial"/>
          <w:color w:val="BFBFBF" w:themeColor="background1" w:themeShade="BF"/>
          <w:sz w:val="22"/>
          <w:szCs w:val="22"/>
        </w:rPr>
        <w:t>iniciarán</w:t>
      </w: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 desde la margen inicial estipulada para el formato (4cm).</w:t>
      </w:r>
      <w:r w:rsidRPr="002C7191"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  <w:t xml:space="preserve"> </w:t>
      </w:r>
    </w:p>
    <w:p w14:paraId="22A4C598" w14:textId="77777777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>El espacio de interlineado de párrafo será de 1.5 cms.;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14:paraId="263D2BC4" w14:textId="45D93E9B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Los márgenes del documento serán: Superior: 3.0cms., Inferior: 3.0cms., Derecho: 3.0cms. </w:t>
      </w:r>
      <w:r w:rsidR="00383067" w:rsidRPr="002C7191">
        <w:rPr>
          <w:rFonts w:ascii="Arial" w:hAnsi="Arial" w:cs="Arial"/>
          <w:color w:val="BFBFBF" w:themeColor="background1" w:themeShade="BF"/>
          <w:sz w:val="22"/>
          <w:szCs w:val="22"/>
        </w:rPr>
        <w:t>he</w:t>
      </w: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 Izquierdo: 4.0cms.</w:t>
      </w:r>
    </w:p>
    <w:p w14:paraId="13C4C5FD" w14:textId="77777777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>Los acápites podrán ser utilizados en género femenino o masculino y/o singular o plural, según corresponda al hecho que se investiga.</w:t>
      </w:r>
    </w:p>
    <w:p w14:paraId="7EEC2ED5" w14:textId="77777777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>Se podrá resaltar con negrilla, mayúscula sostenida, subrayado o cursiva, los datos de relevancia que cada funcionario estime pertinente.</w:t>
      </w:r>
    </w:p>
    <w:p w14:paraId="45CD9CDC" w14:textId="6C9CB83D" w:rsidR="003550CC" w:rsidRPr="002C7191" w:rsidRDefault="003550CC" w:rsidP="003550CC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Los numerales que conforman el acápite denominado </w:t>
      </w:r>
      <w:r w:rsidRPr="002C7191">
        <w:rPr>
          <w:rFonts w:ascii="Arial" w:hAnsi="Arial" w:cs="Arial"/>
          <w:b/>
          <w:color w:val="BFBFBF" w:themeColor="background1" w:themeShade="BF"/>
          <w:sz w:val="22"/>
          <w:szCs w:val="22"/>
        </w:rPr>
        <w:t>“RESUELVE”</w:t>
      </w: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, deberán identificarse en letras, negrita y mayúscula, seguido de los dos puntos (:). Ej.: </w:t>
      </w:r>
      <w:r w:rsidR="00A36CDC" w:rsidRPr="002C7191">
        <w:rPr>
          <w:rFonts w:ascii="Arial" w:hAnsi="Arial" w:cs="Arial"/>
          <w:color w:val="BFBFBF" w:themeColor="background1" w:themeShade="BF"/>
          <w:sz w:val="22"/>
          <w:szCs w:val="22"/>
        </w:rPr>
        <w:t>PRIMERO:</w:t>
      </w:r>
      <w:r w:rsidRPr="002C7191">
        <w:rPr>
          <w:rFonts w:ascii="Arial" w:hAnsi="Arial" w:cs="Arial"/>
          <w:color w:val="BFBFBF" w:themeColor="background1" w:themeShade="BF"/>
          <w:sz w:val="22"/>
          <w:szCs w:val="22"/>
        </w:rPr>
        <w:t xml:space="preserve"> Lo ordenado en cada numeral deberá tener sangría a 3.0cm., que iniciará desde la margen inicial estipulada para el formato.</w:t>
      </w:r>
    </w:p>
    <w:p w14:paraId="486A5CC0" w14:textId="4DFBB737" w:rsidR="00AC3183" w:rsidRPr="004D146B" w:rsidRDefault="003550CC" w:rsidP="004D146B">
      <w:pPr>
        <w:pStyle w:val="Ttul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Cs/>
        </w:rPr>
      </w:pPr>
      <w:r w:rsidRPr="004D146B">
        <w:rPr>
          <w:rFonts w:ascii="Arial" w:hAnsi="Arial" w:cs="Arial"/>
          <w:color w:val="BFBFBF" w:themeColor="background1" w:themeShade="BF"/>
          <w:sz w:val="22"/>
          <w:szCs w:val="22"/>
        </w:rPr>
        <w:t>Los formatos no podrán tener encabezado distinto al correspondiente al Sistema Integrado de Gestión de Calidad.</w:t>
      </w:r>
    </w:p>
    <w:sectPr w:rsidR="00AC3183" w:rsidRPr="004D146B" w:rsidSect="001C4648">
      <w:headerReference w:type="default" r:id="rId7"/>
      <w:footerReference w:type="default" r:id="rId8"/>
      <w:pgSz w:w="12240" w:h="20160" w:code="5"/>
      <w:pgMar w:top="1701" w:right="1134" w:bottom="1701" w:left="226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3B5BC" w14:textId="77777777" w:rsidR="004B335E" w:rsidRDefault="004B335E" w:rsidP="00CC3543">
      <w:r>
        <w:separator/>
      </w:r>
    </w:p>
  </w:endnote>
  <w:endnote w:type="continuationSeparator" w:id="0">
    <w:p w14:paraId="2A004DC5" w14:textId="77777777" w:rsidR="004B335E" w:rsidRDefault="004B335E" w:rsidP="00CC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57C7" w14:textId="40C234D1" w:rsidR="00F760A7" w:rsidRPr="006D7FB3" w:rsidRDefault="00F760A7" w:rsidP="00F760A7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MX" w:eastAsia="es-MX"/>
      </w:rPr>
      <w:drawing>
        <wp:anchor distT="0" distB="0" distL="114300" distR="114300" simplePos="0" relativeHeight="251675648" behindDoc="0" locked="0" layoutInCell="1" allowOverlap="1" wp14:anchorId="5B08432C" wp14:editId="30047A4E">
          <wp:simplePos x="0" y="0"/>
          <wp:positionH relativeFrom="column">
            <wp:posOffset>4905375</wp:posOffset>
          </wp:positionH>
          <wp:positionV relativeFrom="page">
            <wp:posOffset>11942445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>
      <w:rPr>
        <w:rFonts w:ascii="Arial" w:eastAsia="Calibri" w:hAnsi="Arial" w:cs="Arial"/>
        <w:sz w:val="16"/>
        <w:szCs w:val="16"/>
      </w:rPr>
      <w:t xml:space="preserve">    </w:t>
    </w:r>
  </w:p>
  <w:p w14:paraId="25AF50CD" w14:textId="77777777" w:rsidR="00F760A7" w:rsidRPr="007A0469" w:rsidRDefault="00F760A7" w:rsidP="00F760A7">
    <w:pPr>
      <w:numPr>
        <w:ilvl w:val="0"/>
        <w:numId w:val="2"/>
      </w:numPr>
      <w:tabs>
        <w:tab w:val="center" w:pos="4419"/>
        <w:tab w:val="right" w:pos="8838"/>
      </w:tabs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  <w:bookmarkEnd w:id="2"/>
  </w:p>
  <w:p w14:paraId="695731D8" w14:textId="4F8DDDC5" w:rsidR="00FC235B" w:rsidRDefault="00FC235B" w:rsidP="004D146B">
    <w:pPr>
      <w:pStyle w:val="Piedepgina"/>
      <w:tabs>
        <w:tab w:val="clear" w:pos="4419"/>
        <w:tab w:val="clear" w:pos="8838"/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2A40B" w14:textId="77777777" w:rsidR="004B335E" w:rsidRDefault="004B335E" w:rsidP="00CC3543">
      <w:r>
        <w:separator/>
      </w:r>
    </w:p>
  </w:footnote>
  <w:footnote w:type="continuationSeparator" w:id="0">
    <w:p w14:paraId="039CC75F" w14:textId="77777777" w:rsidR="004B335E" w:rsidRDefault="004B335E" w:rsidP="00CC3543">
      <w:r>
        <w:continuationSeparator/>
      </w:r>
    </w:p>
  </w:footnote>
  <w:footnote w:id="1">
    <w:p w14:paraId="3B18F0BD" w14:textId="77777777" w:rsidR="00D26F2F" w:rsidRPr="00937F5F" w:rsidRDefault="00D26F2F" w:rsidP="00EA3164">
      <w:pPr>
        <w:pStyle w:val="Sinespaciado"/>
        <w:jc w:val="both"/>
        <w:rPr>
          <w:i/>
          <w:sz w:val="16"/>
          <w:szCs w:val="16"/>
          <w:lang w:val="es-ES"/>
        </w:rPr>
      </w:pPr>
      <w:r w:rsidRPr="00937F5F">
        <w:rPr>
          <w:rStyle w:val="Refdenotaalpie"/>
          <w:sz w:val="16"/>
          <w:szCs w:val="16"/>
        </w:rPr>
        <w:footnoteRef/>
      </w:r>
      <w:r w:rsidRPr="00937F5F">
        <w:rPr>
          <w:sz w:val="16"/>
          <w:szCs w:val="16"/>
        </w:rPr>
        <w:t xml:space="preserve"> </w:t>
      </w:r>
      <w:r w:rsidRPr="00937F5F">
        <w:rPr>
          <w:bCs/>
          <w:i/>
          <w:sz w:val="16"/>
          <w:szCs w:val="16"/>
          <w:lang w:val="es-ES"/>
        </w:rPr>
        <w:t>ARTÍCULO 50. DERECHOS DE LOS SUJETOS PROCESALES.</w:t>
      </w:r>
      <w:r w:rsidRPr="00937F5F">
        <w:rPr>
          <w:i/>
          <w:sz w:val="16"/>
          <w:szCs w:val="16"/>
          <w:lang w:val="es-ES"/>
        </w:rPr>
        <w:t xml:space="preserve"> Los sujetos procesales tienen los siguientes derechos:</w:t>
      </w:r>
    </w:p>
    <w:p w14:paraId="46D84E56" w14:textId="77777777" w:rsidR="00D26F2F" w:rsidRPr="00937F5F" w:rsidRDefault="00D26F2F" w:rsidP="00EA3164">
      <w:pPr>
        <w:pStyle w:val="Sinespaciado"/>
        <w:jc w:val="both"/>
        <w:rPr>
          <w:i/>
          <w:sz w:val="16"/>
          <w:szCs w:val="16"/>
          <w:lang w:val="es-ES"/>
        </w:rPr>
      </w:pPr>
      <w:r w:rsidRPr="00937F5F">
        <w:rPr>
          <w:i/>
          <w:sz w:val="16"/>
          <w:szCs w:val="16"/>
          <w:lang w:val="es-ES"/>
        </w:rPr>
        <w:t xml:space="preserve">3. Solicitar, aportar y </w:t>
      </w:r>
      <w:r w:rsidRPr="00937F5F">
        <w:rPr>
          <w:i/>
          <w:sz w:val="16"/>
          <w:szCs w:val="16"/>
          <w:u w:val="single"/>
          <w:lang w:val="es-ES"/>
        </w:rPr>
        <w:t>controvertir pruebas</w:t>
      </w:r>
      <w:r w:rsidRPr="00937F5F">
        <w:rPr>
          <w:i/>
          <w:sz w:val="16"/>
          <w:szCs w:val="16"/>
          <w:lang w:val="es-ES"/>
        </w:rPr>
        <w:t xml:space="preserve"> e intervenir en la práctica de las mismas. (subrayado fuera de texto)</w:t>
      </w:r>
    </w:p>
    <w:p w14:paraId="7342249D" w14:textId="77777777" w:rsidR="00D26F2F" w:rsidRPr="00937F5F" w:rsidRDefault="00D26F2F" w:rsidP="00EA3164">
      <w:pPr>
        <w:pStyle w:val="Sinespaciado"/>
        <w:jc w:val="both"/>
        <w:rPr>
          <w:i/>
          <w:sz w:val="16"/>
          <w:szCs w:val="16"/>
          <w:lang w:val="es-ES"/>
        </w:rPr>
      </w:pPr>
    </w:p>
  </w:footnote>
  <w:footnote w:id="2">
    <w:p w14:paraId="4B83800A" w14:textId="77777777" w:rsidR="00D26F2F" w:rsidRPr="00937F5F" w:rsidRDefault="00D26F2F" w:rsidP="00EA3164">
      <w:pPr>
        <w:spacing w:after="150"/>
        <w:jc w:val="both"/>
        <w:rPr>
          <w:i/>
          <w:sz w:val="16"/>
          <w:szCs w:val="16"/>
          <w:lang w:eastAsia="es-ES"/>
        </w:rPr>
      </w:pPr>
      <w:r w:rsidRPr="00937F5F">
        <w:rPr>
          <w:rStyle w:val="Refdenotaalpie"/>
          <w:sz w:val="16"/>
          <w:szCs w:val="16"/>
        </w:rPr>
        <w:footnoteRef/>
      </w:r>
      <w:r w:rsidRPr="00937F5F">
        <w:rPr>
          <w:sz w:val="16"/>
          <w:szCs w:val="16"/>
        </w:rPr>
        <w:t xml:space="preserve"> </w:t>
      </w:r>
      <w:r w:rsidR="007041F9" w:rsidRPr="00937F5F">
        <w:rPr>
          <w:bCs/>
          <w:i/>
          <w:sz w:val="16"/>
          <w:szCs w:val="16"/>
          <w:lang w:eastAsia="es-ES"/>
        </w:rPr>
        <w:t>ARTÍCULO</w:t>
      </w:r>
      <w:r w:rsidR="007041F9" w:rsidRPr="00937F5F">
        <w:rPr>
          <w:i/>
          <w:sz w:val="16"/>
          <w:szCs w:val="16"/>
          <w:lang w:eastAsia="es-ES"/>
        </w:rPr>
        <w:t> </w:t>
      </w:r>
      <w:r w:rsidR="007041F9" w:rsidRPr="00937F5F">
        <w:rPr>
          <w:bCs/>
          <w:i/>
          <w:sz w:val="16"/>
          <w:szCs w:val="16"/>
          <w:lang w:eastAsia="es-ES"/>
        </w:rPr>
        <w:t>174. </w:t>
      </w:r>
      <w:r w:rsidR="007041F9" w:rsidRPr="00937F5F">
        <w:rPr>
          <w:bCs/>
          <w:i/>
          <w:iCs/>
          <w:sz w:val="16"/>
          <w:szCs w:val="16"/>
          <w:lang w:eastAsia="es-ES"/>
        </w:rPr>
        <w:t>PRUEBA TRASLADADA Y PRUEBA EXTRAPROCESAL</w:t>
      </w:r>
      <w:r w:rsidRPr="00937F5F">
        <w:rPr>
          <w:b/>
          <w:bCs/>
          <w:i/>
          <w:iCs/>
          <w:sz w:val="16"/>
          <w:szCs w:val="16"/>
          <w:lang w:eastAsia="es-ES"/>
        </w:rPr>
        <w:t>. </w:t>
      </w:r>
      <w:r w:rsidRPr="00937F5F">
        <w:rPr>
          <w:i/>
          <w:sz w:val="16"/>
          <w:szCs w:val="16"/>
          <w:u w:val="single"/>
          <w:lang w:eastAsia="es-ES"/>
        </w:rPr>
        <w:t>Las pruebas practicadas válidamente en un proceso podrán trasladarse a otro en copia y serán apreciadas sin más formalidades</w:t>
      </w:r>
      <w:r w:rsidRPr="00937F5F">
        <w:rPr>
          <w:i/>
          <w:sz w:val="16"/>
          <w:szCs w:val="16"/>
          <w:lang w:eastAsia="es-ES"/>
        </w:rPr>
        <w:t xml:space="preserve">, siempre que en el proceso de origen se hubieren practicado a petición de la parte contra quien se aducen o con audiencia de ella. En caso contrario, </w:t>
      </w:r>
      <w:r w:rsidRPr="00937F5F">
        <w:rPr>
          <w:i/>
          <w:sz w:val="16"/>
          <w:szCs w:val="16"/>
          <w:u w:val="single"/>
          <w:lang w:eastAsia="es-ES"/>
        </w:rPr>
        <w:t>deberá surtirse la contradicción en el proceso al que están destinadas</w:t>
      </w:r>
      <w:r w:rsidRPr="00937F5F">
        <w:rPr>
          <w:i/>
          <w:sz w:val="16"/>
          <w:szCs w:val="16"/>
          <w:lang w:eastAsia="es-ES"/>
        </w:rPr>
        <w:t>. La misma regla se aplicará a las pruebas extraprocesales.</w:t>
      </w:r>
    </w:p>
    <w:p w14:paraId="0ED3D3C8" w14:textId="77777777" w:rsidR="00D26F2F" w:rsidRPr="00937F5F" w:rsidRDefault="00D26F2F" w:rsidP="00EA3164">
      <w:pPr>
        <w:pStyle w:val="Sinespaciado"/>
        <w:jc w:val="both"/>
        <w:rPr>
          <w:i/>
          <w:sz w:val="16"/>
          <w:szCs w:val="16"/>
          <w:lang w:val="es-ES"/>
        </w:rPr>
      </w:pPr>
      <w:r w:rsidRPr="00937F5F">
        <w:rPr>
          <w:sz w:val="16"/>
          <w:szCs w:val="16"/>
          <w:lang w:eastAsia="es-ES"/>
        </w:rPr>
        <w:t xml:space="preserve">La valoración de las pruebas trasladadas o extraprocesales y la definición de sus consecuencias jurídicas corresponderán al juez ante quien se aduzcan. </w:t>
      </w:r>
      <w:r w:rsidRPr="00937F5F">
        <w:rPr>
          <w:i/>
          <w:sz w:val="16"/>
          <w:szCs w:val="16"/>
          <w:lang w:val="es-ES"/>
        </w:rPr>
        <w:t xml:space="preserve"> (subrayado fuera de texto)</w:t>
      </w:r>
    </w:p>
    <w:p w14:paraId="6F705274" w14:textId="77777777" w:rsidR="00D26F2F" w:rsidRPr="00937F5F" w:rsidRDefault="00D26F2F" w:rsidP="00D26F2F">
      <w:pPr>
        <w:pStyle w:val="Sinespaciado"/>
        <w:rPr>
          <w:rFonts w:ascii="Calibri" w:hAnsi="Calibri"/>
          <w:sz w:val="18"/>
          <w:szCs w:val="18"/>
        </w:rPr>
      </w:pPr>
    </w:p>
    <w:p w14:paraId="43183230" w14:textId="77777777" w:rsidR="00D26F2F" w:rsidRPr="005646D8" w:rsidRDefault="00D26F2F" w:rsidP="00D26F2F">
      <w:pPr>
        <w:pStyle w:val="Textonotapie"/>
        <w:rPr>
          <w:rFonts w:ascii="Calibri" w:hAnsi="Calibri"/>
          <w:color w:val="7F7F7F"/>
          <w:sz w:val="18"/>
          <w:szCs w:val="18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410"/>
      <w:gridCol w:w="2552"/>
    </w:tblGrid>
    <w:tr w:rsidR="00F760A7" w:rsidRPr="00333E73" w14:paraId="3BE9B538" w14:textId="77777777" w:rsidTr="00AB0306">
      <w:trPr>
        <w:trHeight w:val="278"/>
      </w:trPr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7667BC" w14:textId="50D33D20" w:rsidR="00F760A7" w:rsidRPr="00FB332E" w:rsidRDefault="00F760A7" w:rsidP="00F760A7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77696" behindDoc="0" locked="0" layoutInCell="1" allowOverlap="1" wp14:anchorId="3DB071CB" wp14:editId="60A6CDE4">
                <wp:simplePos x="0" y="0"/>
                <wp:positionH relativeFrom="column">
                  <wp:posOffset>-53975</wp:posOffset>
                </wp:positionH>
                <wp:positionV relativeFrom="paragraph">
                  <wp:posOffset>17780</wp:posOffset>
                </wp:positionV>
                <wp:extent cx="606425" cy="575945"/>
                <wp:effectExtent l="0" t="0" r="317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</w:t>
          </w:r>
          <w:r w:rsidRPr="00FB332E">
            <w:rPr>
              <w:rFonts w:ascii="Arial" w:hAnsi="Arial" w:cs="Arial"/>
              <w:sz w:val="16"/>
              <w:szCs w:val="16"/>
            </w:rPr>
            <w:t>MINISTERIO DE DEFENSA NACIONAL</w:t>
          </w:r>
        </w:p>
        <w:p w14:paraId="117659B0" w14:textId="77777777" w:rsidR="00F760A7" w:rsidRPr="00FB332E" w:rsidRDefault="00F760A7" w:rsidP="00F760A7">
          <w:pPr>
            <w:pStyle w:val="Sinespaciado"/>
            <w:rPr>
              <w:rFonts w:ascii="Arial" w:hAnsi="Arial" w:cs="Arial"/>
              <w:sz w:val="2"/>
              <w:szCs w:val="16"/>
            </w:rPr>
          </w:pPr>
        </w:p>
        <w:p w14:paraId="045B65DF" w14:textId="77777777" w:rsidR="00F760A7" w:rsidRPr="00FB332E" w:rsidRDefault="00F760A7" w:rsidP="00F760A7">
          <w:pPr>
            <w:pStyle w:val="Sinespaciado"/>
            <w:rPr>
              <w:rFonts w:ascii="Arial" w:hAnsi="Arial" w:cs="Arial"/>
              <w:sz w:val="16"/>
              <w:szCs w:val="16"/>
            </w:rPr>
          </w:pPr>
          <w:r w:rsidRPr="00FB332E">
            <w:rPr>
              <w:rFonts w:ascii="Arial" w:hAnsi="Arial" w:cs="Arial"/>
              <w:sz w:val="16"/>
              <w:szCs w:val="16"/>
            </w:rPr>
            <w:t xml:space="preserve">                   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332E">
            <w:rPr>
              <w:rFonts w:ascii="Arial" w:hAnsi="Arial" w:cs="Arial"/>
              <w:sz w:val="16"/>
              <w:szCs w:val="16"/>
            </w:rPr>
            <w:t>COMANDO GENERAL FUERZAS MILITARES</w:t>
          </w:r>
        </w:p>
        <w:p w14:paraId="415FC094" w14:textId="77777777" w:rsidR="00F760A7" w:rsidRPr="00FB332E" w:rsidRDefault="00F760A7" w:rsidP="00F760A7">
          <w:pPr>
            <w:pStyle w:val="Sinespaciado"/>
            <w:rPr>
              <w:rFonts w:ascii="Arial" w:hAnsi="Arial" w:cs="Arial"/>
              <w:sz w:val="16"/>
              <w:szCs w:val="16"/>
            </w:rPr>
          </w:pPr>
          <w:r w:rsidRPr="00FB332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                   </w:t>
          </w:r>
          <w:r w:rsidRPr="00FB332E">
            <w:rPr>
              <w:rFonts w:ascii="Arial" w:hAnsi="Arial" w:cs="Arial"/>
              <w:sz w:val="16"/>
              <w:szCs w:val="16"/>
            </w:rPr>
            <w:t>EJÉRCITO NACIONAL</w:t>
          </w:r>
        </w:p>
        <w:p w14:paraId="116BB9D2" w14:textId="77777777" w:rsidR="00F760A7" w:rsidRPr="00FB332E" w:rsidRDefault="00F760A7" w:rsidP="00F760A7">
          <w:pPr>
            <w:pStyle w:val="Sinespaciado"/>
            <w:rPr>
              <w:rFonts w:ascii="Arial" w:hAnsi="Arial" w:cs="Arial"/>
              <w:sz w:val="16"/>
              <w:szCs w:val="16"/>
            </w:rPr>
          </w:pPr>
          <w:r w:rsidRPr="00FB332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                   </w:t>
          </w:r>
          <w:r w:rsidRPr="00FB332E">
            <w:rPr>
              <w:rFonts w:ascii="Arial" w:hAnsi="Arial" w:cs="Arial"/>
              <w:sz w:val="16"/>
              <w:szCs w:val="16"/>
            </w:rPr>
            <w:t>DIRECCIÓN DE ASUNTOS DISCIPLINARIOS Y</w:t>
          </w:r>
        </w:p>
        <w:p w14:paraId="6CC46EC6" w14:textId="77777777" w:rsidR="00F760A7" w:rsidRPr="00333E73" w:rsidRDefault="00F760A7" w:rsidP="00F760A7">
          <w:pPr>
            <w:pStyle w:val="Sinespaciado"/>
            <w:rPr>
              <w:sz w:val="16"/>
            </w:rPr>
          </w:pPr>
          <w:r w:rsidRPr="00FB332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                   </w:t>
          </w:r>
          <w:r w:rsidRPr="00FB332E">
            <w:rPr>
              <w:rFonts w:ascii="Arial" w:hAnsi="Arial" w:cs="Arial"/>
              <w:sz w:val="16"/>
              <w:szCs w:val="16"/>
            </w:rPr>
            <w:t>ADMINISTRATIVOS DEL EJÉRCITO NACIONAL</w:t>
          </w:r>
        </w:p>
      </w:tc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DA98B1" w14:textId="77777777" w:rsidR="00F760A7" w:rsidRPr="00506A91" w:rsidRDefault="00F760A7" w:rsidP="00F760A7">
          <w:pPr>
            <w:suppressLineNumbers/>
            <w:tabs>
              <w:tab w:val="center" w:pos="4818"/>
              <w:tab w:val="right" w:pos="9637"/>
            </w:tabs>
            <w:contextualSpacing/>
            <w:jc w:val="center"/>
            <w:rPr>
              <w:rFonts w:ascii="Arial" w:hAnsi="Arial" w:cs="Arial"/>
              <w:b/>
              <w:color w:val="000000" w:themeColor="text1"/>
              <w:sz w:val="16"/>
              <w:szCs w:val="20"/>
            </w:rPr>
          </w:pPr>
          <w:r w:rsidRPr="00AB0306">
            <w:rPr>
              <w:rFonts w:ascii="Arial" w:hAnsi="Arial" w:cs="Arial"/>
              <w:b/>
              <w:sz w:val="18"/>
              <w:szCs w:val="20"/>
            </w:rPr>
            <w:t>AUTO QUE INCORPORA PRUEBA TRASLADADA EN LA ACTUACIÓN ADMINISTRATIVA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09465" w14:textId="5DDFDAD9" w:rsidR="00F760A7" w:rsidRPr="00333E73" w:rsidRDefault="00F760A7" w:rsidP="00F760A7">
          <w:pPr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hAnsi="Arial" w:cs="Arial"/>
              <w:sz w:val="16"/>
              <w:szCs w:val="16"/>
            </w:rPr>
            <w:fldChar w:fldCharType="separate"/>
          </w:r>
          <w:r w:rsidR="00780F23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8A4616">
            <w:rPr>
              <w:rFonts w:ascii="Arial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F760A7" w:rsidRPr="00333E73" w14:paraId="42C22D03" w14:textId="77777777" w:rsidTr="00AB0306">
      <w:trPr>
        <w:trHeight w:val="267"/>
      </w:trPr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D9E69C" w14:textId="77777777" w:rsidR="00F760A7" w:rsidRDefault="00F760A7" w:rsidP="00F760A7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70AA2A" w14:textId="77777777" w:rsidR="00F760A7" w:rsidRPr="00333E73" w:rsidRDefault="00F760A7" w:rsidP="00F760A7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3CEFA4" w14:textId="77777777" w:rsidR="00F760A7" w:rsidRPr="00333E73" w:rsidRDefault="00F760A7" w:rsidP="00F760A7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8A4616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hAnsi="Arial" w:cs="Arial"/>
              <w:sz w:val="16"/>
              <w:szCs w:val="16"/>
            </w:rPr>
            <w:t>FO-DADAE-23</w:t>
          </w:r>
          <w:r>
            <w:rPr>
              <w:rStyle w:val="span"/>
              <w:rFonts w:ascii="Arial" w:hAnsi="Arial" w:cs="Arial"/>
              <w:sz w:val="16"/>
              <w:szCs w:val="16"/>
            </w:rPr>
            <w:t>17</w:t>
          </w:r>
        </w:p>
      </w:tc>
    </w:tr>
    <w:tr w:rsidR="00F760A7" w:rsidRPr="00333E73" w14:paraId="5EFC0E7B" w14:textId="77777777" w:rsidTr="00AB0306">
      <w:trPr>
        <w:trHeight w:val="272"/>
      </w:trPr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459C0A" w14:textId="77777777" w:rsidR="00F760A7" w:rsidRDefault="00F760A7" w:rsidP="00F760A7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7FFE34" w14:textId="77777777" w:rsidR="00F760A7" w:rsidRPr="00333E73" w:rsidRDefault="00F760A7" w:rsidP="00F760A7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47F12D" w14:textId="77777777" w:rsidR="00F760A7" w:rsidRPr="00333E73" w:rsidRDefault="00F760A7" w:rsidP="00F760A7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F760A7" w:rsidRPr="00333E73" w14:paraId="04C61215" w14:textId="77777777" w:rsidTr="00AB0306">
      <w:trPr>
        <w:trHeight w:val="289"/>
      </w:trPr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47B4D" w14:textId="77777777" w:rsidR="00F760A7" w:rsidRDefault="00F760A7" w:rsidP="00F760A7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BADAB1" w14:textId="77777777" w:rsidR="00F760A7" w:rsidRPr="00333E73" w:rsidRDefault="00F760A7" w:rsidP="00F760A7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64881A" w14:textId="0F0A7795" w:rsidR="00F760A7" w:rsidRPr="00333E73" w:rsidRDefault="00F760A7" w:rsidP="00F760A7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Pr="00780F23">
            <w:rPr>
              <w:rFonts w:ascii="Arial" w:hAnsi="Arial" w:cs="Arial"/>
              <w:sz w:val="16"/>
              <w:szCs w:val="16"/>
            </w:rPr>
            <w:t>2026-02-</w:t>
          </w:r>
          <w:r w:rsidR="00780F23" w:rsidRPr="00780F23">
            <w:rPr>
              <w:rFonts w:ascii="Arial" w:hAnsi="Arial" w:cs="Arial"/>
              <w:sz w:val="16"/>
              <w:szCs w:val="16"/>
            </w:rPr>
            <w:t>11</w:t>
          </w:r>
        </w:p>
      </w:tc>
    </w:tr>
  </w:tbl>
  <w:p w14:paraId="1E086EA9" w14:textId="591ED06A" w:rsidR="00CB57F5" w:rsidRDefault="00CB57F5">
    <w:pPr>
      <w:pStyle w:val="Encabezado"/>
    </w:pPr>
  </w:p>
  <w:p w14:paraId="4A041D79" w14:textId="77777777" w:rsidR="004D146B" w:rsidRDefault="004D14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E110A072"/>
    <w:lvl w:ilvl="0" w:tplc="D6A03A36">
      <w:start w:val="1"/>
      <w:numFmt w:val="decimal"/>
      <w:lvlText w:val="%1."/>
      <w:lvlJc w:val="left"/>
      <w:pPr>
        <w:ind w:left="720" w:hanging="360"/>
      </w:pPr>
      <w:rPr>
        <w:b/>
        <w:color w:val="BFBFBF" w:themeColor="background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43"/>
    <w:rsid w:val="00020046"/>
    <w:rsid w:val="00027E09"/>
    <w:rsid w:val="00056C1A"/>
    <w:rsid w:val="000C41E0"/>
    <w:rsid w:val="00112FB4"/>
    <w:rsid w:val="00186A61"/>
    <w:rsid w:val="001C4648"/>
    <w:rsid w:val="00245143"/>
    <w:rsid w:val="00310A21"/>
    <w:rsid w:val="003550CC"/>
    <w:rsid w:val="0037351B"/>
    <w:rsid w:val="00383067"/>
    <w:rsid w:val="003842FD"/>
    <w:rsid w:val="003927A9"/>
    <w:rsid w:val="003D5E81"/>
    <w:rsid w:val="00423961"/>
    <w:rsid w:val="00431A8B"/>
    <w:rsid w:val="004B335E"/>
    <w:rsid w:val="004D146B"/>
    <w:rsid w:val="00517128"/>
    <w:rsid w:val="00544430"/>
    <w:rsid w:val="005471AA"/>
    <w:rsid w:val="00584392"/>
    <w:rsid w:val="00590EC6"/>
    <w:rsid w:val="005A382F"/>
    <w:rsid w:val="005E185A"/>
    <w:rsid w:val="005E60B8"/>
    <w:rsid w:val="005E76FA"/>
    <w:rsid w:val="00610D60"/>
    <w:rsid w:val="006307B5"/>
    <w:rsid w:val="00653DBE"/>
    <w:rsid w:val="00660342"/>
    <w:rsid w:val="00687683"/>
    <w:rsid w:val="006A7787"/>
    <w:rsid w:val="006C68E5"/>
    <w:rsid w:val="007041F9"/>
    <w:rsid w:val="007256E8"/>
    <w:rsid w:val="00732D0B"/>
    <w:rsid w:val="007353BF"/>
    <w:rsid w:val="00780F23"/>
    <w:rsid w:val="007E08BB"/>
    <w:rsid w:val="00803E83"/>
    <w:rsid w:val="00895311"/>
    <w:rsid w:val="00896B23"/>
    <w:rsid w:val="008B7D54"/>
    <w:rsid w:val="008C1503"/>
    <w:rsid w:val="008D3E2D"/>
    <w:rsid w:val="00921199"/>
    <w:rsid w:val="00937F5F"/>
    <w:rsid w:val="009426ED"/>
    <w:rsid w:val="00A36CDC"/>
    <w:rsid w:val="00A4319C"/>
    <w:rsid w:val="00A515D8"/>
    <w:rsid w:val="00A7347B"/>
    <w:rsid w:val="00AB0306"/>
    <w:rsid w:val="00AE2754"/>
    <w:rsid w:val="00AF0262"/>
    <w:rsid w:val="00B064E5"/>
    <w:rsid w:val="00B07DC1"/>
    <w:rsid w:val="00B43A16"/>
    <w:rsid w:val="00B473F1"/>
    <w:rsid w:val="00BC1A95"/>
    <w:rsid w:val="00C13C85"/>
    <w:rsid w:val="00C5490C"/>
    <w:rsid w:val="00C85295"/>
    <w:rsid w:val="00CB57F5"/>
    <w:rsid w:val="00CC3543"/>
    <w:rsid w:val="00CD31E6"/>
    <w:rsid w:val="00D26A84"/>
    <w:rsid w:val="00D26F2F"/>
    <w:rsid w:val="00D35294"/>
    <w:rsid w:val="00D972ED"/>
    <w:rsid w:val="00DA4E25"/>
    <w:rsid w:val="00DF3646"/>
    <w:rsid w:val="00E502C9"/>
    <w:rsid w:val="00E769DE"/>
    <w:rsid w:val="00E86DA7"/>
    <w:rsid w:val="00EA3164"/>
    <w:rsid w:val="00EC1C97"/>
    <w:rsid w:val="00ED446F"/>
    <w:rsid w:val="00F45CC1"/>
    <w:rsid w:val="00F75145"/>
    <w:rsid w:val="00F760A7"/>
    <w:rsid w:val="00F80C7F"/>
    <w:rsid w:val="00F82632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9B307"/>
  <w15:docId w15:val="{B91A8689-F063-4231-B8C6-6A25C775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A515D8"/>
    <w:pPr>
      <w:keepNext/>
      <w:jc w:val="right"/>
      <w:outlineLvl w:val="0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C354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C3543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CC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35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3543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character" w:styleId="Refdenotaalpie">
    <w:name w:val="footnote reference"/>
    <w:uiPriority w:val="99"/>
    <w:semiHidden/>
    <w:unhideWhenUsed/>
    <w:rsid w:val="00CC354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D44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D446F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ED446F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6307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7B5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nhideWhenUsed/>
    <w:rsid w:val="006307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07B5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pan">
    <w:name w:val="span"/>
    <w:rsid w:val="006307B5"/>
  </w:style>
  <w:style w:type="character" w:customStyle="1" w:styleId="Ttulo1Car">
    <w:name w:val="Título 1 Car"/>
    <w:basedOn w:val="Fuentedeprrafopredeter"/>
    <w:link w:val="Ttulo1"/>
    <w:rsid w:val="00A515D8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tulo">
    <w:name w:val="Title"/>
    <w:basedOn w:val="Normal"/>
    <w:link w:val="TtuloCar"/>
    <w:uiPriority w:val="10"/>
    <w:qFormat/>
    <w:rsid w:val="00A515D8"/>
    <w:pPr>
      <w:jc w:val="center"/>
    </w:pPr>
    <w:rPr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A515D8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02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262"/>
    <w:rPr>
      <w:rFonts w:ascii="Segoe UI" w:eastAsia="Times New Roman" w:hAnsi="Segoe UI" w:cs="Segoe UI"/>
      <w:sz w:val="18"/>
      <w:szCs w:val="18"/>
      <w:lang w:val="es-CO" w:eastAsia="es-CO"/>
    </w:rPr>
  </w:style>
  <w:style w:type="paragraph" w:styleId="Revisin">
    <w:name w:val="Revision"/>
    <w:hidden/>
    <w:uiPriority w:val="99"/>
    <w:semiHidden/>
    <w:rsid w:val="00F45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PS.Sandra Yaneth Fajardo Murillo</dc:creator>
  <cp:lastModifiedBy>PD01.Lina Marcela Alape Rayo</cp:lastModifiedBy>
  <cp:revision>23</cp:revision>
  <dcterms:created xsi:type="dcterms:W3CDTF">2025-11-11T16:58:00Z</dcterms:created>
  <dcterms:modified xsi:type="dcterms:W3CDTF">2026-02-11T20:16:00Z</dcterms:modified>
</cp:coreProperties>
</file>