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1D087" w14:textId="77777777" w:rsidR="00CF1103" w:rsidRDefault="00CF1103" w:rsidP="00CF1103">
      <w:pPr>
        <w:ind w:left="-567"/>
        <w:jc w:val="center"/>
        <w:rPr>
          <w:rFonts w:ascii="Arial" w:hAnsi="Arial" w:cs="Arial"/>
          <w:b/>
          <w:color w:val="BFBFBF"/>
          <w:sz w:val="26"/>
          <w:szCs w:val="26"/>
          <w:u w:val="single"/>
          <w:lang w:val="es-ES" w:eastAsia="es-ES"/>
        </w:rPr>
      </w:pPr>
    </w:p>
    <w:p w14:paraId="24B7C529" w14:textId="0A7E7078" w:rsidR="00BE213C" w:rsidRDefault="00BE213C" w:rsidP="00CF1103">
      <w:pPr>
        <w:ind w:left="-567"/>
        <w:jc w:val="center"/>
        <w:rPr>
          <w:rFonts w:ascii="Arial" w:hAnsi="Arial" w:cs="Arial"/>
          <w:b/>
          <w:color w:val="BFBFBF"/>
          <w:sz w:val="26"/>
          <w:szCs w:val="26"/>
          <w:u w:val="single"/>
          <w:lang w:val="es-ES" w:eastAsia="es-ES"/>
        </w:rPr>
      </w:pPr>
      <w:r w:rsidRPr="00BE213C">
        <w:rPr>
          <w:rFonts w:ascii="Arial" w:hAnsi="Arial" w:cs="Arial"/>
          <w:b/>
          <w:color w:val="BFBFBF"/>
          <w:sz w:val="26"/>
          <w:szCs w:val="26"/>
          <w:u w:val="single"/>
          <w:lang w:val="es-ES" w:eastAsia="es-ES"/>
        </w:rPr>
        <w:t>NOMBRE UNIDAD/DEPENDENCIA AUTORIDAD ADMINISTRATIVA COMPETENTE</w:t>
      </w:r>
    </w:p>
    <w:p w14:paraId="2FAD7061" w14:textId="77777777" w:rsidR="00CF1103" w:rsidRPr="00BE213C" w:rsidRDefault="00CF1103" w:rsidP="00CF1103">
      <w:pPr>
        <w:ind w:left="-567"/>
        <w:jc w:val="center"/>
        <w:rPr>
          <w:rFonts w:ascii="Arial" w:hAnsi="Arial" w:cs="Arial"/>
          <w:b/>
          <w:color w:val="BFBFBF"/>
          <w:sz w:val="26"/>
          <w:szCs w:val="26"/>
          <w:u w:val="single"/>
          <w:lang w:val="es-ES" w:eastAsia="es-ES"/>
        </w:rPr>
      </w:pPr>
    </w:p>
    <w:p w14:paraId="1ADEEAD3" w14:textId="77777777" w:rsidR="00020AF3" w:rsidRPr="00237E10" w:rsidRDefault="00020AF3" w:rsidP="00CF1103">
      <w:pPr>
        <w:tabs>
          <w:tab w:val="left" w:pos="142"/>
        </w:tabs>
        <w:spacing w:line="360" w:lineRule="auto"/>
        <w:ind w:left="-567"/>
        <w:rPr>
          <w:rFonts w:ascii="Arial" w:eastAsia="SimSun" w:hAnsi="Arial" w:cs="Arial"/>
          <w:b/>
          <w:color w:val="BFBFBF"/>
        </w:rPr>
      </w:pPr>
      <w:bookmarkStart w:id="0" w:name="_GoBack"/>
      <w:bookmarkEnd w:id="0"/>
    </w:p>
    <w:p w14:paraId="74E35FAA" w14:textId="77777777" w:rsidR="00020AF3" w:rsidRPr="00237E10" w:rsidRDefault="00020AF3" w:rsidP="00CF1103">
      <w:pPr>
        <w:tabs>
          <w:tab w:val="left" w:pos="142"/>
        </w:tabs>
        <w:spacing w:line="360" w:lineRule="auto"/>
        <w:ind w:left="-567"/>
        <w:jc w:val="both"/>
        <w:rPr>
          <w:lang w:val="es-ES_tradnl"/>
        </w:rPr>
      </w:pPr>
      <w:r w:rsidRPr="00237E10">
        <w:rPr>
          <w:rFonts w:ascii="Arial" w:eastAsia="SimSun" w:hAnsi="Arial" w:cs="Arial"/>
          <w:color w:val="BFBFBF"/>
        </w:rPr>
        <w:t xml:space="preserve">Ciudad y Fecha (… Se coloca la </w:t>
      </w:r>
      <w:r w:rsidRPr="00237E10">
        <w:rPr>
          <w:rFonts w:ascii="Arial" w:hAnsi="Arial" w:cs="Arial"/>
          <w:color w:val="BFBFBF"/>
        </w:rPr>
        <w:t xml:space="preserve">Ciudad donde se adelanta la investigación seguida entre paréntesis del Departamento, separados de una coma (,) continúa la fecha en </w:t>
      </w:r>
      <w:r>
        <w:rPr>
          <w:rFonts w:ascii="Arial" w:hAnsi="Arial" w:cs="Arial"/>
          <w:color w:val="BFBFBF"/>
        </w:rPr>
        <w:t>letras y números o con fechador</w:t>
      </w:r>
      <w:r w:rsidRPr="00237E10">
        <w:rPr>
          <w:rFonts w:ascii="Arial" w:eastAsia="SimSun" w:hAnsi="Arial" w:cs="Arial"/>
          <w:color w:val="BFBFBF"/>
        </w:rPr>
        <w:t>…).</w:t>
      </w:r>
    </w:p>
    <w:p w14:paraId="51D9F3BE" w14:textId="77777777" w:rsidR="00785C54" w:rsidRPr="00020AF3" w:rsidRDefault="00785C54" w:rsidP="00CF1103">
      <w:pPr>
        <w:pStyle w:val="Sinespaciado"/>
        <w:spacing w:line="360" w:lineRule="auto"/>
        <w:ind w:left="-567"/>
        <w:jc w:val="both"/>
        <w:rPr>
          <w:rFonts w:ascii="Arial" w:hAnsi="Arial" w:cs="Arial"/>
        </w:rPr>
      </w:pPr>
    </w:p>
    <w:p w14:paraId="3168AAF3" w14:textId="77777777" w:rsidR="00785C54" w:rsidRPr="00020AF3" w:rsidRDefault="00785C54" w:rsidP="00CF1103">
      <w:pPr>
        <w:pStyle w:val="Sinespaciado"/>
        <w:spacing w:line="360" w:lineRule="auto"/>
        <w:ind w:left="-567"/>
        <w:jc w:val="center"/>
        <w:rPr>
          <w:rFonts w:ascii="Arial" w:hAnsi="Arial" w:cs="Arial"/>
          <w:b/>
          <w:u w:val="single"/>
        </w:rPr>
      </w:pPr>
      <w:r w:rsidRPr="00020AF3">
        <w:rPr>
          <w:rFonts w:ascii="Arial" w:hAnsi="Arial" w:cs="Arial"/>
          <w:b/>
          <w:u w:val="single"/>
        </w:rPr>
        <w:t>ASUNTO A DECIDIR</w:t>
      </w:r>
    </w:p>
    <w:p w14:paraId="1772E779" w14:textId="77777777" w:rsidR="00785C54" w:rsidRPr="00020AF3" w:rsidRDefault="00785C54" w:rsidP="00CF1103">
      <w:pPr>
        <w:pStyle w:val="Sinespaciado"/>
        <w:spacing w:line="360" w:lineRule="auto"/>
        <w:ind w:left="-567"/>
        <w:jc w:val="both"/>
        <w:rPr>
          <w:rFonts w:ascii="Arial" w:hAnsi="Arial" w:cs="Arial"/>
          <w:lang w:val="es-MX"/>
        </w:rPr>
      </w:pPr>
    </w:p>
    <w:p w14:paraId="2E26D377" w14:textId="36967548" w:rsidR="00020AF3" w:rsidRDefault="00020AF3" w:rsidP="00CF1103">
      <w:pPr>
        <w:widowControl w:val="0"/>
        <w:tabs>
          <w:tab w:val="left" w:pos="142"/>
        </w:tabs>
        <w:autoSpaceDE w:val="0"/>
        <w:autoSpaceDN w:val="0"/>
        <w:adjustRightInd w:val="0"/>
        <w:spacing w:line="360" w:lineRule="auto"/>
        <w:ind w:left="-567"/>
        <w:jc w:val="both"/>
        <w:rPr>
          <w:rFonts w:ascii="Arial" w:hAnsi="Arial" w:cs="Arial"/>
        </w:rPr>
      </w:pPr>
      <w:r>
        <w:rPr>
          <w:rFonts w:ascii="Arial" w:hAnsi="Arial" w:cs="Arial"/>
        </w:rPr>
        <w:t xml:space="preserve">Teniendo en cuenta que mediante auto de fecha </w:t>
      </w:r>
      <w:r w:rsidR="00314484" w:rsidRPr="008A0CC8">
        <w:rPr>
          <w:rFonts w:ascii="Arial" w:hAnsi="Arial" w:cs="Arial"/>
          <w:i/>
          <w:color w:val="BFBFBF" w:themeColor="background1" w:themeShade="BF"/>
        </w:rPr>
        <w:t>(día/mes/año)</w:t>
      </w:r>
      <w:r w:rsidRPr="008A0CC8">
        <w:rPr>
          <w:rFonts w:ascii="Arial" w:hAnsi="Arial" w:cs="Arial"/>
          <w:color w:val="BFBFBF" w:themeColor="background1" w:themeShade="BF"/>
        </w:rPr>
        <w:t xml:space="preserve"> </w:t>
      </w:r>
      <w:r>
        <w:rPr>
          <w:rFonts w:ascii="Arial" w:hAnsi="Arial" w:cs="Arial"/>
        </w:rPr>
        <w:t xml:space="preserve">suscrito por </w:t>
      </w:r>
      <w:r w:rsidR="00F06873" w:rsidRPr="008A0CC8">
        <w:rPr>
          <w:rFonts w:ascii="Arial" w:hAnsi="Arial" w:cs="Arial"/>
          <w:color w:val="BFBFBF" w:themeColor="background1" w:themeShade="BF"/>
        </w:rPr>
        <w:t xml:space="preserve">(cargo de la autoridad que lo emitió) </w:t>
      </w:r>
      <w:r>
        <w:rPr>
          <w:rFonts w:ascii="Arial" w:hAnsi="Arial" w:cs="Arial"/>
        </w:rPr>
        <w:t>se dio inicio a la investigación administrativa</w:t>
      </w:r>
      <w:r w:rsidR="00905180">
        <w:rPr>
          <w:rFonts w:ascii="Arial" w:hAnsi="Arial" w:cs="Arial"/>
        </w:rPr>
        <w:t xml:space="preserve"> </w:t>
      </w:r>
      <w:r w:rsidR="00905180" w:rsidRPr="00A627F7">
        <w:rPr>
          <w:rFonts w:ascii="Arial" w:hAnsi="Arial" w:cs="Arial"/>
          <w:bCs/>
          <w:iCs/>
        </w:rPr>
        <w:t>con radicado único SIDAE N°</w:t>
      </w:r>
      <w:r w:rsidR="00905180">
        <w:rPr>
          <w:rFonts w:ascii="Arial" w:hAnsi="Arial" w:cs="Arial"/>
        </w:rPr>
        <w:t xml:space="preserve"> </w:t>
      </w:r>
      <w:r w:rsidR="00905180" w:rsidRPr="005F4C8F">
        <w:rPr>
          <w:rFonts w:ascii="Arial" w:hAnsi="Arial" w:cs="Arial"/>
          <w:color w:val="BFBFBF"/>
        </w:rPr>
        <w:t>(…se indica el número del radicado</w:t>
      </w:r>
      <w:r w:rsidR="00905180">
        <w:rPr>
          <w:rFonts w:ascii="Arial" w:hAnsi="Arial" w:cs="Arial"/>
          <w:color w:val="BFBFBF"/>
        </w:rPr>
        <w:t xml:space="preserve"> otorgado por la plataforma SIDAE</w:t>
      </w:r>
      <w:r w:rsidR="00905180" w:rsidRPr="005F4C8F">
        <w:rPr>
          <w:rFonts w:ascii="Arial" w:hAnsi="Arial" w:cs="Arial"/>
          <w:color w:val="BFBFBF"/>
        </w:rPr>
        <w:t>)</w:t>
      </w:r>
      <w:r w:rsidR="00905180" w:rsidDel="00905180">
        <w:rPr>
          <w:rFonts w:ascii="Arial" w:hAnsi="Arial" w:cs="Arial"/>
        </w:rPr>
        <w:t xml:space="preserve"> </w:t>
      </w:r>
      <w:r>
        <w:rPr>
          <w:rFonts w:ascii="Arial" w:hAnsi="Arial" w:cs="Arial"/>
        </w:rPr>
        <w:t xml:space="preserve">, con ocasión </w:t>
      </w:r>
      <w:r w:rsidRPr="008A0CC8">
        <w:rPr>
          <w:rFonts w:ascii="Arial" w:hAnsi="Arial" w:cs="Arial"/>
          <w:color w:val="BFBFBF" w:themeColor="background1" w:themeShade="BF"/>
        </w:rPr>
        <w:t>(</w:t>
      </w:r>
      <w:r w:rsidR="00F06873" w:rsidRPr="008A0CC8">
        <w:rPr>
          <w:rFonts w:ascii="Arial" w:hAnsi="Arial" w:cs="Arial"/>
          <w:color w:val="BFBFBF" w:themeColor="background1" w:themeShade="BF"/>
        </w:rPr>
        <w:t xml:space="preserve">al </w:t>
      </w:r>
      <w:r w:rsidRPr="008A0CC8">
        <w:rPr>
          <w:rFonts w:ascii="Arial" w:hAnsi="Arial" w:cs="Arial"/>
          <w:color w:val="BFBFBF" w:themeColor="background1" w:themeShade="BF"/>
        </w:rPr>
        <w:t>daño o pérdida de xxx bienes)</w:t>
      </w:r>
      <w:r w:rsidR="00314484" w:rsidRPr="008A0CC8">
        <w:rPr>
          <w:rFonts w:ascii="Arial" w:hAnsi="Arial" w:cs="Arial"/>
          <w:color w:val="BFBFBF" w:themeColor="background1" w:themeShade="BF"/>
        </w:rPr>
        <w:t xml:space="preserve"> </w:t>
      </w:r>
      <w:r w:rsidR="00314484">
        <w:rPr>
          <w:rFonts w:ascii="Arial" w:hAnsi="Arial" w:cs="Arial"/>
        </w:rPr>
        <w:t xml:space="preserve">presentado en hechos </w:t>
      </w:r>
      <w:r w:rsidR="00F06873" w:rsidRPr="008A0CC8">
        <w:rPr>
          <w:rFonts w:ascii="Arial" w:hAnsi="Arial" w:cs="Arial"/>
          <w:color w:val="BFBFBF" w:themeColor="background1" w:themeShade="BF"/>
        </w:rPr>
        <w:t>(indicación sucinta del hecho)</w:t>
      </w:r>
      <w:r>
        <w:rPr>
          <w:rFonts w:ascii="Arial" w:hAnsi="Arial" w:cs="Arial"/>
        </w:rPr>
        <w:t>, y que igual</w:t>
      </w:r>
      <w:r w:rsidR="00F06873">
        <w:rPr>
          <w:rFonts w:ascii="Arial" w:hAnsi="Arial" w:cs="Arial"/>
        </w:rPr>
        <w:t>mente</w:t>
      </w:r>
      <w:r>
        <w:rPr>
          <w:rFonts w:ascii="Arial" w:hAnsi="Arial" w:cs="Arial"/>
        </w:rPr>
        <w:t xml:space="preserve"> en este despacho se viene adelantando la investigación administrativa </w:t>
      </w:r>
      <w:r w:rsidR="00905180" w:rsidRPr="00A627F7">
        <w:rPr>
          <w:rFonts w:ascii="Arial" w:hAnsi="Arial" w:cs="Arial"/>
          <w:bCs/>
          <w:iCs/>
        </w:rPr>
        <w:t>con radicado único SIDAE N°</w:t>
      </w:r>
      <w:r w:rsidR="00905180">
        <w:rPr>
          <w:rFonts w:ascii="Arial" w:hAnsi="Arial" w:cs="Arial"/>
        </w:rPr>
        <w:t xml:space="preserve"> </w:t>
      </w:r>
      <w:r w:rsidR="00905180" w:rsidRPr="005F4C8F">
        <w:rPr>
          <w:rFonts w:ascii="Arial" w:hAnsi="Arial" w:cs="Arial"/>
          <w:color w:val="BFBFBF"/>
        </w:rPr>
        <w:t>(…se indica el número del radicado</w:t>
      </w:r>
      <w:r w:rsidR="00905180">
        <w:rPr>
          <w:rFonts w:ascii="Arial" w:hAnsi="Arial" w:cs="Arial"/>
          <w:color w:val="BFBFBF"/>
        </w:rPr>
        <w:t xml:space="preserve"> otorgado por la plataforma SIDAE</w:t>
      </w:r>
      <w:r w:rsidR="00905180" w:rsidRPr="005F4C8F">
        <w:rPr>
          <w:rFonts w:ascii="Arial" w:hAnsi="Arial" w:cs="Arial"/>
          <w:color w:val="BFBFBF"/>
        </w:rPr>
        <w:t>)</w:t>
      </w:r>
      <w:r w:rsidR="00905180" w:rsidDel="00905180">
        <w:rPr>
          <w:rFonts w:ascii="Arial" w:hAnsi="Arial" w:cs="Arial"/>
        </w:rPr>
        <w:t xml:space="preserve"> </w:t>
      </w:r>
      <w:r w:rsidR="00F06873" w:rsidRPr="008A0CC8">
        <w:rPr>
          <w:rFonts w:ascii="Arial" w:hAnsi="Arial" w:cs="Arial"/>
          <w:color w:val="BFBFBF" w:themeColor="background1" w:themeShade="BF"/>
        </w:rPr>
        <w:t xml:space="preserve"> </w:t>
      </w:r>
      <w:r w:rsidR="00314484">
        <w:rPr>
          <w:rFonts w:ascii="Arial" w:hAnsi="Arial" w:cs="Arial"/>
        </w:rPr>
        <w:t>por e</w:t>
      </w:r>
      <w:r>
        <w:rPr>
          <w:rFonts w:ascii="Arial" w:hAnsi="Arial" w:cs="Arial"/>
        </w:rPr>
        <w:t xml:space="preserve">l </w:t>
      </w:r>
      <w:r w:rsidR="00F06873" w:rsidRPr="008A0CC8">
        <w:rPr>
          <w:rFonts w:ascii="Arial" w:hAnsi="Arial" w:cs="Arial"/>
          <w:color w:val="BFBFBF" w:themeColor="background1" w:themeShade="BF"/>
        </w:rPr>
        <w:t>(</w:t>
      </w:r>
      <w:r w:rsidRPr="008A0CC8">
        <w:rPr>
          <w:rFonts w:ascii="Arial" w:hAnsi="Arial" w:cs="Arial"/>
          <w:color w:val="BFBFBF" w:themeColor="background1" w:themeShade="BF"/>
        </w:rPr>
        <w:t xml:space="preserve">daño o pérdida de </w:t>
      </w:r>
      <w:r w:rsidR="00314484" w:rsidRPr="008A0CC8">
        <w:rPr>
          <w:rFonts w:ascii="Arial" w:hAnsi="Arial" w:cs="Arial"/>
          <w:color w:val="BFBFBF" w:themeColor="background1" w:themeShade="BF"/>
        </w:rPr>
        <w:t xml:space="preserve">xxx </w:t>
      </w:r>
      <w:r w:rsidRPr="008A0CC8">
        <w:rPr>
          <w:rFonts w:ascii="Arial" w:hAnsi="Arial" w:cs="Arial"/>
          <w:color w:val="BFBFBF" w:themeColor="background1" w:themeShade="BF"/>
        </w:rPr>
        <w:t>bienes</w:t>
      </w:r>
      <w:r w:rsidR="00F06873" w:rsidRPr="008A0CC8">
        <w:rPr>
          <w:rFonts w:ascii="Arial" w:hAnsi="Arial" w:cs="Arial"/>
          <w:color w:val="BFBFBF" w:themeColor="background1" w:themeShade="BF"/>
        </w:rPr>
        <w:t>)</w:t>
      </w:r>
      <w:r>
        <w:rPr>
          <w:rFonts w:ascii="Arial" w:hAnsi="Arial" w:cs="Arial"/>
        </w:rPr>
        <w:t xml:space="preserve"> ocurrido en los hechos</w:t>
      </w:r>
      <w:r w:rsidR="00314484">
        <w:rPr>
          <w:rFonts w:ascii="Arial" w:hAnsi="Arial" w:cs="Arial"/>
        </w:rPr>
        <w:t xml:space="preserve"> ya referidos; es procedente verificar la viabilidad jurídica </w:t>
      </w:r>
      <w:r w:rsidR="00F06873">
        <w:rPr>
          <w:rFonts w:ascii="Arial" w:hAnsi="Arial" w:cs="Arial"/>
        </w:rPr>
        <w:t xml:space="preserve">que existe </w:t>
      </w:r>
      <w:r w:rsidR="00314484">
        <w:rPr>
          <w:rFonts w:ascii="Arial" w:hAnsi="Arial" w:cs="Arial"/>
        </w:rPr>
        <w:t xml:space="preserve">de disponer la agregación de diligencias conforme </w:t>
      </w:r>
      <w:r w:rsidR="00F06873">
        <w:rPr>
          <w:rFonts w:ascii="Arial" w:hAnsi="Arial" w:cs="Arial"/>
        </w:rPr>
        <w:t>a</w:t>
      </w:r>
      <w:r w:rsidR="00314484">
        <w:rPr>
          <w:rFonts w:ascii="Arial" w:hAnsi="Arial" w:cs="Arial"/>
        </w:rPr>
        <w:t xml:space="preserve"> lo </w:t>
      </w:r>
      <w:r w:rsidR="00F06873">
        <w:rPr>
          <w:rFonts w:ascii="Arial" w:hAnsi="Arial" w:cs="Arial"/>
        </w:rPr>
        <w:t>establecido</w:t>
      </w:r>
      <w:r w:rsidR="00314484">
        <w:rPr>
          <w:rFonts w:ascii="Arial" w:hAnsi="Arial" w:cs="Arial"/>
        </w:rPr>
        <w:t xml:space="preserve"> en el artículo 41</w:t>
      </w:r>
      <w:r w:rsidR="00314484">
        <w:rPr>
          <w:rStyle w:val="Refdenotaalpie"/>
          <w:rFonts w:ascii="Arial" w:hAnsi="Arial" w:cs="Arial"/>
        </w:rPr>
        <w:footnoteReference w:id="1"/>
      </w:r>
      <w:r w:rsidR="00314484">
        <w:rPr>
          <w:rFonts w:ascii="Arial" w:hAnsi="Arial" w:cs="Arial"/>
        </w:rPr>
        <w:t xml:space="preserve"> de la Ley 1476 de 2011 </w:t>
      </w:r>
      <w:r w:rsidR="00314484" w:rsidRPr="00020AF3">
        <w:rPr>
          <w:rFonts w:ascii="Arial" w:eastAsiaTheme="minorHAnsi" w:hAnsi="Arial" w:cs="Arial"/>
          <w:i/>
        </w:rPr>
        <w:t>“Régimen</w:t>
      </w:r>
      <w:r w:rsidR="00314484" w:rsidRPr="00020AF3">
        <w:rPr>
          <w:rFonts w:ascii="Arial" w:eastAsiaTheme="minorHAnsi" w:hAnsi="Arial" w:cs="Arial"/>
        </w:rPr>
        <w:t xml:space="preserve"> </w:t>
      </w:r>
      <w:r w:rsidR="00314484" w:rsidRPr="00020AF3">
        <w:rPr>
          <w:rFonts w:ascii="Arial" w:hAnsi="Arial" w:cs="Arial"/>
          <w:i/>
        </w:rPr>
        <w:t>de responsabilidad administrativa por pérdida o daño de bienes de propiedad o al servicio del Ministerio de Defensa Nacional, sus entidades adscritas o vinculadas o la Fuerza Pública”</w:t>
      </w:r>
    </w:p>
    <w:p w14:paraId="228B5326" w14:textId="77777777" w:rsidR="00314484" w:rsidRDefault="00314484" w:rsidP="00CF1103">
      <w:pPr>
        <w:pStyle w:val="Sinespaciado"/>
        <w:spacing w:line="360" w:lineRule="auto"/>
        <w:ind w:left="-567"/>
        <w:jc w:val="both"/>
        <w:rPr>
          <w:rFonts w:ascii="Arial" w:hAnsi="Arial" w:cs="Arial"/>
        </w:rPr>
      </w:pPr>
    </w:p>
    <w:p w14:paraId="5601A741" w14:textId="77777777" w:rsidR="00785C54" w:rsidRPr="00020AF3" w:rsidRDefault="00785C54" w:rsidP="00CF1103">
      <w:pPr>
        <w:pStyle w:val="Sinespaciado"/>
        <w:spacing w:line="360" w:lineRule="auto"/>
        <w:ind w:left="-567"/>
        <w:jc w:val="center"/>
        <w:rPr>
          <w:rFonts w:ascii="Arial" w:hAnsi="Arial" w:cs="Arial"/>
          <w:b/>
          <w:u w:val="single"/>
        </w:rPr>
      </w:pPr>
      <w:r w:rsidRPr="00020AF3">
        <w:rPr>
          <w:rFonts w:ascii="Arial" w:hAnsi="Arial" w:cs="Arial"/>
          <w:b/>
          <w:u w:val="single"/>
        </w:rPr>
        <w:t>HECHOS</w:t>
      </w:r>
    </w:p>
    <w:p w14:paraId="187A4946" w14:textId="77777777" w:rsidR="00785C54" w:rsidRPr="00020AF3" w:rsidRDefault="00785C54" w:rsidP="00CF1103">
      <w:pPr>
        <w:pStyle w:val="Sinespaciado"/>
        <w:spacing w:line="360" w:lineRule="auto"/>
        <w:ind w:left="-567"/>
        <w:jc w:val="both"/>
        <w:rPr>
          <w:rFonts w:ascii="Arial" w:hAnsi="Arial" w:cs="Arial"/>
        </w:rPr>
      </w:pPr>
    </w:p>
    <w:p w14:paraId="2659C20C" w14:textId="77777777" w:rsidR="00F06873" w:rsidRPr="008A0CC8" w:rsidRDefault="00785C54" w:rsidP="00CF1103">
      <w:pPr>
        <w:pStyle w:val="Sinespaciado"/>
        <w:spacing w:line="360" w:lineRule="auto"/>
        <w:ind w:left="-567"/>
        <w:jc w:val="both"/>
        <w:rPr>
          <w:rFonts w:ascii="Arial" w:hAnsi="Arial" w:cs="Arial"/>
          <w:color w:val="BFBFBF" w:themeColor="background1" w:themeShade="BF"/>
        </w:rPr>
      </w:pPr>
      <w:r w:rsidRPr="00020AF3">
        <w:rPr>
          <w:rFonts w:ascii="Arial" w:hAnsi="Arial" w:cs="Arial"/>
        </w:rPr>
        <w:t>Los hechos materia de</w:t>
      </w:r>
      <w:r w:rsidR="008A0CC8">
        <w:rPr>
          <w:rFonts w:ascii="Arial" w:hAnsi="Arial" w:cs="Arial"/>
        </w:rPr>
        <w:t xml:space="preserve"> la presente actuación administrativa fueron</w:t>
      </w:r>
      <w:r w:rsidRPr="00020AF3">
        <w:rPr>
          <w:rFonts w:ascii="Arial" w:hAnsi="Arial" w:cs="Arial"/>
        </w:rPr>
        <w:t xml:space="preserve"> puestos en conocimiento mediante </w:t>
      </w:r>
      <w:r w:rsidR="00F06873" w:rsidRPr="008A0CC8">
        <w:rPr>
          <w:rFonts w:ascii="Arial" w:hAnsi="Arial" w:cs="Arial"/>
          <w:i/>
          <w:color w:val="BFBFBF" w:themeColor="background1" w:themeShade="BF"/>
        </w:rPr>
        <w:t xml:space="preserve">(poner el medio por el cual se conocieron los hechos </w:t>
      </w:r>
      <w:r w:rsidR="008A0CC8" w:rsidRPr="008A0CC8">
        <w:rPr>
          <w:rFonts w:ascii="Arial" w:hAnsi="Arial" w:cs="Arial"/>
          <w:i/>
          <w:color w:val="BFBFBF" w:themeColor="background1" w:themeShade="BF"/>
        </w:rPr>
        <w:t>y hacer</w:t>
      </w:r>
      <w:r w:rsidR="008A0CC8" w:rsidRPr="008A0CC8">
        <w:rPr>
          <w:rFonts w:ascii="Arial" w:hAnsi="Arial" w:cs="Arial"/>
          <w:color w:val="BFBFBF" w:themeColor="background1" w:themeShade="BF"/>
        </w:rPr>
        <w:t xml:space="preserve"> </w:t>
      </w:r>
      <w:r w:rsidR="008A0CC8" w:rsidRPr="008A0CC8">
        <w:rPr>
          <w:rFonts w:ascii="Arial" w:hAnsi="Arial" w:cs="Arial"/>
          <w:i/>
          <w:color w:val="BFBFBF" w:themeColor="background1" w:themeShade="BF"/>
        </w:rPr>
        <w:t xml:space="preserve">una narración y descripción sucinta con </w:t>
      </w:r>
      <w:r w:rsidR="008A0CC8" w:rsidRPr="008A0CC8">
        <w:rPr>
          <w:rFonts w:ascii="Arial" w:hAnsi="Arial" w:cs="Arial"/>
          <w:i/>
          <w:color w:val="BFBFBF" w:themeColor="background1" w:themeShade="BF"/>
          <w:u w:val="single"/>
        </w:rPr>
        <w:t>indicación de las circunstancias de modo, tiempo y lugar en que se sucedieron</w:t>
      </w:r>
      <w:r w:rsidR="008A0CC8" w:rsidRPr="008A0CC8">
        <w:rPr>
          <w:rFonts w:ascii="Arial" w:hAnsi="Arial" w:cs="Arial"/>
          <w:i/>
          <w:color w:val="BFBFBF" w:themeColor="background1" w:themeShade="BF"/>
        </w:rPr>
        <w:t xml:space="preserve"> (cuándo, dónde y cómo), si el proceso se inició de oficio, se deberá advertir esta situación) </w:t>
      </w:r>
    </w:p>
    <w:p w14:paraId="77EF88D7" w14:textId="52C8F775" w:rsidR="00CF1103" w:rsidRDefault="00CF1103" w:rsidP="00133E84">
      <w:pPr>
        <w:pStyle w:val="Sinespaciado"/>
        <w:spacing w:line="360" w:lineRule="auto"/>
        <w:jc w:val="both"/>
        <w:rPr>
          <w:rFonts w:ascii="Arial" w:hAnsi="Arial" w:cs="Arial"/>
        </w:rPr>
      </w:pPr>
    </w:p>
    <w:p w14:paraId="02CA225E" w14:textId="77777777" w:rsidR="00133E84" w:rsidRDefault="00133E84" w:rsidP="00133E84">
      <w:pPr>
        <w:pStyle w:val="Sinespaciado"/>
        <w:spacing w:line="360" w:lineRule="auto"/>
        <w:jc w:val="both"/>
        <w:rPr>
          <w:rFonts w:ascii="Arial" w:hAnsi="Arial" w:cs="Arial"/>
        </w:rPr>
      </w:pPr>
    </w:p>
    <w:p w14:paraId="3637AA52" w14:textId="77777777" w:rsidR="00785C54" w:rsidRPr="00020AF3" w:rsidRDefault="00785C54" w:rsidP="00CF1103">
      <w:pPr>
        <w:pStyle w:val="Sinespaciado"/>
        <w:spacing w:line="360" w:lineRule="auto"/>
        <w:ind w:left="-567"/>
        <w:jc w:val="center"/>
        <w:rPr>
          <w:rFonts w:ascii="Arial" w:hAnsi="Arial" w:cs="Arial"/>
          <w:b/>
          <w:u w:val="single"/>
        </w:rPr>
      </w:pPr>
      <w:r w:rsidRPr="00020AF3">
        <w:rPr>
          <w:rFonts w:ascii="Arial" w:hAnsi="Arial" w:cs="Arial"/>
          <w:b/>
          <w:u w:val="single"/>
        </w:rPr>
        <w:t>ACTUACIÓN PROCESAL</w:t>
      </w:r>
    </w:p>
    <w:p w14:paraId="108DC9FC" w14:textId="77777777" w:rsidR="00785C54" w:rsidRPr="00020AF3" w:rsidRDefault="00785C54" w:rsidP="00CF1103">
      <w:pPr>
        <w:pStyle w:val="Sinespaciado"/>
        <w:tabs>
          <w:tab w:val="left" w:pos="3000"/>
        </w:tabs>
        <w:spacing w:line="360" w:lineRule="auto"/>
        <w:ind w:left="-567"/>
        <w:jc w:val="both"/>
        <w:rPr>
          <w:rFonts w:ascii="Arial" w:hAnsi="Arial" w:cs="Arial"/>
        </w:rPr>
      </w:pPr>
    </w:p>
    <w:p w14:paraId="2A8A72E2" w14:textId="77777777" w:rsidR="00CE5AB4" w:rsidRPr="00237E10" w:rsidRDefault="00CE5AB4" w:rsidP="00CF1103">
      <w:pPr>
        <w:pStyle w:val="Textoindependiente"/>
        <w:tabs>
          <w:tab w:val="left" w:pos="142"/>
        </w:tabs>
        <w:spacing w:line="360" w:lineRule="auto"/>
        <w:ind w:left="-567"/>
        <w:jc w:val="both"/>
        <w:rPr>
          <w:rFonts w:ascii="Arial" w:hAnsi="Arial" w:cs="Arial"/>
          <w:color w:val="BFBFBF"/>
        </w:rPr>
      </w:pPr>
      <w:r w:rsidRPr="00237E10">
        <w:rPr>
          <w:rFonts w:ascii="Arial" w:hAnsi="Arial" w:cs="Arial"/>
          <w:color w:val="BFBFBF"/>
        </w:rPr>
        <w:t>(… En este acápite se hace una descripc</w:t>
      </w:r>
      <w:r w:rsidR="00A57102">
        <w:rPr>
          <w:rFonts w:ascii="Arial" w:hAnsi="Arial" w:cs="Arial"/>
          <w:color w:val="BFBFBF"/>
        </w:rPr>
        <w:t>ión sucinta de cada una de las actuaciones p</w:t>
      </w:r>
      <w:r w:rsidRPr="00237E10">
        <w:rPr>
          <w:rFonts w:ascii="Arial" w:hAnsi="Arial" w:cs="Arial"/>
          <w:color w:val="BFBFBF"/>
        </w:rPr>
        <w:t xml:space="preserve">rocesales </w:t>
      </w:r>
      <w:r w:rsidR="00A57102">
        <w:rPr>
          <w:rFonts w:ascii="Arial" w:hAnsi="Arial" w:cs="Arial"/>
          <w:i/>
          <w:color w:val="BFBFBF"/>
        </w:rPr>
        <w:t>(Autos de sustanciación o i</w:t>
      </w:r>
      <w:r w:rsidRPr="00237E10">
        <w:rPr>
          <w:rFonts w:ascii="Arial" w:hAnsi="Arial" w:cs="Arial"/>
          <w:i/>
          <w:color w:val="BFBFBF"/>
        </w:rPr>
        <w:t>nterlocutorios)</w:t>
      </w:r>
      <w:r w:rsidRPr="00237E10">
        <w:rPr>
          <w:rFonts w:ascii="Arial" w:hAnsi="Arial" w:cs="Arial"/>
          <w:color w:val="BFBFBF"/>
        </w:rPr>
        <w:t xml:space="preserve"> que se profirieron en la investigación, individualizándolas e identificándolas con números ordinales e indicando la fecha y el folio(s) donde se ubica cada actuación …).</w:t>
      </w:r>
    </w:p>
    <w:p w14:paraId="1C6613A2" w14:textId="77777777" w:rsidR="00785C54" w:rsidRPr="00020AF3" w:rsidRDefault="00785C54" w:rsidP="00CF1103">
      <w:pPr>
        <w:pStyle w:val="Sinespaciado"/>
        <w:spacing w:line="360" w:lineRule="auto"/>
        <w:ind w:left="-567"/>
        <w:jc w:val="both"/>
        <w:rPr>
          <w:rFonts w:ascii="Arial" w:hAnsi="Arial" w:cs="Arial"/>
        </w:rPr>
      </w:pPr>
    </w:p>
    <w:p w14:paraId="130BE4ED" w14:textId="77777777" w:rsidR="00785C54" w:rsidRPr="00020AF3" w:rsidRDefault="00785C54" w:rsidP="00CF1103">
      <w:pPr>
        <w:pStyle w:val="Sinespaciado"/>
        <w:spacing w:line="360" w:lineRule="auto"/>
        <w:ind w:left="-567"/>
        <w:jc w:val="center"/>
        <w:rPr>
          <w:rFonts w:ascii="Arial" w:hAnsi="Arial" w:cs="Arial"/>
          <w:b/>
          <w:u w:val="single"/>
        </w:rPr>
      </w:pPr>
      <w:r w:rsidRPr="00020AF3">
        <w:rPr>
          <w:rFonts w:ascii="Arial" w:hAnsi="Arial" w:cs="Arial"/>
          <w:b/>
          <w:u w:val="single"/>
        </w:rPr>
        <w:t>CONSIDERACIONES JURÍDICAS DEL DESPACHO</w:t>
      </w:r>
    </w:p>
    <w:p w14:paraId="4A5A1EFB" w14:textId="77777777" w:rsidR="004C290A" w:rsidRDefault="004C290A" w:rsidP="00CF1103">
      <w:pPr>
        <w:spacing w:line="360" w:lineRule="auto"/>
        <w:ind w:left="-567"/>
        <w:jc w:val="both"/>
        <w:rPr>
          <w:rFonts w:ascii="Arial" w:hAnsi="Arial" w:cs="Arial"/>
        </w:rPr>
      </w:pPr>
    </w:p>
    <w:p w14:paraId="7E635693" w14:textId="77777777" w:rsidR="00CE5AB4" w:rsidRPr="00CE5AB4" w:rsidRDefault="00CE5AB4" w:rsidP="00CF1103">
      <w:pPr>
        <w:pBdr>
          <w:top w:val="nil"/>
          <w:left w:val="nil"/>
          <w:bottom w:val="nil"/>
          <w:right w:val="nil"/>
          <w:between w:val="nil"/>
        </w:pBdr>
        <w:spacing w:line="360" w:lineRule="auto"/>
        <w:ind w:left="-567"/>
        <w:jc w:val="both"/>
        <w:rPr>
          <w:rFonts w:ascii="Arial" w:eastAsia="Arial Narrow" w:hAnsi="Arial" w:cs="Arial"/>
          <w:color w:val="000000"/>
        </w:rPr>
      </w:pPr>
      <w:r w:rsidRPr="00CE5AB4">
        <w:rPr>
          <w:rFonts w:ascii="Arial" w:eastAsia="Arial Narrow" w:hAnsi="Arial" w:cs="Arial"/>
          <w:color w:val="000000"/>
        </w:rPr>
        <w:t xml:space="preserve">La actuación administrativa </w:t>
      </w:r>
      <w:r>
        <w:rPr>
          <w:rFonts w:ascii="Arial" w:eastAsia="Arial Narrow" w:hAnsi="Arial" w:cs="Arial"/>
          <w:color w:val="000000"/>
        </w:rPr>
        <w:t>contenida</w:t>
      </w:r>
      <w:r w:rsidRPr="00CE5AB4">
        <w:rPr>
          <w:rFonts w:ascii="Arial" w:eastAsia="Arial Narrow" w:hAnsi="Arial" w:cs="Arial"/>
          <w:color w:val="000000"/>
        </w:rPr>
        <w:t xml:space="preserve"> en la Ley 1476 de 2011 es la facultad que tiene el Estado a través de sus funcionarios para iniciar, adelantar y terminar las investigaciones encaminadas a que el Ministerio de Defensa Nacional, sus entidades adscritas o vinculadas </w:t>
      </w:r>
      <w:r w:rsidR="00AA69FD">
        <w:rPr>
          <w:rFonts w:ascii="Arial" w:eastAsia="Arial Narrow" w:hAnsi="Arial" w:cs="Arial"/>
          <w:color w:val="000000"/>
        </w:rPr>
        <w:t>y</w:t>
      </w:r>
      <w:r w:rsidRPr="00CE5AB4">
        <w:rPr>
          <w:rFonts w:ascii="Arial" w:eastAsia="Arial Narrow" w:hAnsi="Arial" w:cs="Arial"/>
          <w:color w:val="000000"/>
        </w:rPr>
        <w:t xml:space="preserve"> la Fuerza Pública, preserven el patrimonio e impidan que este sufra detrimento por pérdidas o daños causados a bienes de propiedad o al servicio del mismo</w:t>
      </w:r>
      <w:r w:rsidRPr="00CE5AB4">
        <w:rPr>
          <w:rStyle w:val="Refdenotaalpie"/>
          <w:rFonts w:ascii="Arial" w:eastAsia="Arial Narrow" w:hAnsi="Arial" w:cs="Arial"/>
          <w:color w:val="000000"/>
        </w:rPr>
        <w:footnoteReference w:id="2"/>
      </w:r>
      <w:r w:rsidRPr="00CE5AB4">
        <w:rPr>
          <w:rFonts w:ascii="Arial" w:eastAsia="Arial Narrow" w:hAnsi="Arial" w:cs="Arial"/>
          <w:color w:val="000000"/>
        </w:rPr>
        <w:t xml:space="preserve">. En desarrollo de estos fines las autoridades con competencia administrativa son las llamadas a ejercer tal atribución adelantando las investigaciones correspondientes que conlleven a determinar la responsabilidad </w:t>
      </w:r>
      <w:r>
        <w:rPr>
          <w:rFonts w:ascii="Arial" w:eastAsia="Arial Narrow" w:hAnsi="Arial" w:cs="Arial"/>
          <w:color w:val="000000"/>
        </w:rPr>
        <w:t xml:space="preserve">que deriva de </w:t>
      </w:r>
      <w:r w:rsidRPr="00CE5AB4">
        <w:rPr>
          <w:rFonts w:ascii="Arial" w:eastAsia="Arial Narrow" w:hAnsi="Arial" w:cs="Arial"/>
          <w:color w:val="000000"/>
        </w:rPr>
        <w:t>la existencia de</w:t>
      </w:r>
      <w:r>
        <w:rPr>
          <w:rFonts w:ascii="Arial" w:eastAsia="Arial Narrow" w:hAnsi="Arial" w:cs="Arial"/>
          <w:color w:val="000000"/>
        </w:rPr>
        <w:t>l</w:t>
      </w:r>
      <w:r w:rsidRPr="00CE5AB4">
        <w:rPr>
          <w:rFonts w:ascii="Arial" w:eastAsia="Arial Narrow" w:hAnsi="Arial" w:cs="Arial"/>
          <w:color w:val="000000"/>
        </w:rPr>
        <w:t xml:space="preserve"> daño o </w:t>
      </w:r>
      <w:r>
        <w:rPr>
          <w:rFonts w:ascii="Arial" w:eastAsia="Arial Narrow" w:hAnsi="Arial" w:cs="Arial"/>
          <w:color w:val="000000"/>
        </w:rPr>
        <w:t xml:space="preserve">la </w:t>
      </w:r>
      <w:r w:rsidRPr="00CE5AB4">
        <w:rPr>
          <w:rFonts w:ascii="Arial" w:eastAsia="Arial Narrow" w:hAnsi="Arial" w:cs="Arial"/>
          <w:color w:val="000000"/>
        </w:rPr>
        <w:t xml:space="preserve">pérdida de bienes. </w:t>
      </w:r>
    </w:p>
    <w:p w14:paraId="43FD4BF9" w14:textId="77777777" w:rsidR="00CE5AB4" w:rsidRDefault="00CE5AB4" w:rsidP="00CF1103">
      <w:pPr>
        <w:spacing w:line="360" w:lineRule="auto"/>
        <w:ind w:left="-567"/>
        <w:jc w:val="both"/>
        <w:rPr>
          <w:rFonts w:ascii="Arial" w:hAnsi="Arial" w:cs="Arial"/>
        </w:rPr>
      </w:pPr>
    </w:p>
    <w:p w14:paraId="4097D1D3" w14:textId="528EE83B" w:rsidR="00AE74A6" w:rsidRDefault="00AA69FD" w:rsidP="00CF1103">
      <w:pPr>
        <w:spacing w:line="360" w:lineRule="auto"/>
        <w:ind w:left="-567"/>
        <w:jc w:val="both"/>
        <w:rPr>
          <w:rFonts w:ascii="Arial" w:hAnsi="Arial" w:cs="Arial"/>
        </w:rPr>
      </w:pPr>
      <w:r>
        <w:rPr>
          <w:rFonts w:ascii="Arial" w:hAnsi="Arial" w:cs="Arial"/>
        </w:rPr>
        <w:t xml:space="preserve">Al respecto </w:t>
      </w:r>
      <w:r w:rsidR="00581176">
        <w:rPr>
          <w:rFonts w:ascii="Arial" w:hAnsi="Arial" w:cs="Arial"/>
        </w:rPr>
        <w:t xml:space="preserve">y </w:t>
      </w:r>
      <w:r w:rsidR="00CE5AB4">
        <w:rPr>
          <w:rFonts w:ascii="Arial" w:hAnsi="Arial" w:cs="Arial"/>
        </w:rPr>
        <w:t xml:space="preserve">con observancia </w:t>
      </w:r>
      <w:r w:rsidR="00EC507B">
        <w:rPr>
          <w:rFonts w:ascii="Arial" w:hAnsi="Arial" w:cs="Arial"/>
        </w:rPr>
        <w:t>del</w:t>
      </w:r>
      <w:r w:rsidR="00CE5AB4">
        <w:rPr>
          <w:rFonts w:ascii="Arial" w:hAnsi="Arial" w:cs="Arial"/>
        </w:rPr>
        <w:t xml:space="preserve"> debido proceso Constitucional</w:t>
      </w:r>
      <w:r w:rsidR="00EC507B">
        <w:rPr>
          <w:rFonts w:ascii="Arial" w:hAnsi="Arial" w:cs="Arial"/>
        </w:rPr>
        <w:t xml:space="preserve">, </w:t>
      </w:r>
      <w:r>
        <w:rPr>
          <w:rFonts w:ascii="Arial" w:hAnsi="Arial" w:cs="Arial"/>
        </w:rPr>
        <w:t>decanta</w:t>
      </w:r>
      <w:r w:rsidR="00EC507B">
        <w:rPr>
          <w:rFonts w:ascii="Arial" w:hAnsi="Arial" w:cs="Arial"/>
        </w:rPr>
        <w:t xml:space="preserve">do </w:t>
      </w:r>
      <w:r w:rsidR="00581176">
        <w:rPr>
          <w:rFonts w:ascii="Arial" w:hAnsi="Arial" w:cs="Arial"/>
        </w:rPr>
        <w:t xml:space="preserve">este además </w:t>
      </w:r>
      <w:r w:rsidR="00EC507B">
        <w:rPr>
          <w:rFonts w:ascii="Arial" w:hAnsi="Arial" w:cs="Arial"/>
        </w:rPr>
        <w:t>en el artículo 5</w:t>
      </w:r>
      <w:r w:rsidR="00581176">
        <w:rPr>
          <w:rFonts w:ascii="Arial" w:hAnsi="Arial" w:cs="Arial"/>
        </w:rPr>
        <w:t>°</w:t>
      </w:r>
      <w:r w:rsidR="00EC507B">
        <w:rPr>
          <w:rFonts w:ascii="Arial" w:hAnsi="Arial" w:cs="Arial"/>
        </w:rPr>
        <w:t xml:space="preserve"> de la Ley 1476 de 2011, especialmente respecto de la plena aplicación de las leyes sustanciales y procesales aplicables al acto que se atribuye</w:t>
      </w:r>
      <w:r w:rsidR="00EC507B">
        <w:rPr>
          <w:rStyle w:val="Refdenotaalpie"/>
          <w:rFonts w:ascii="Arial" w:hAnsi="Arial" w:cs="Arial"/>
        </w:rPr>
        <w:footnoteReference w:id="3"/>
      </w:r>
      <w:r w:rsidR="00581176">
        <w:rPr>
          <w:rFonts w:ascii="Arial" w:hAnsi="Arial" w:cs="Arial"/>
        </w:rPr>
        <w:t>;</w:t>
      </w:r>
      <w:r w:rsidR="00FC71AE">
        <w:rPr>
          <w:rFonts w:ascii="Arial" w:hAnsi="Arial" w:cs="Arial"/>
        </w:rPr>
        <w:t xml:space="preserve"> </w:t>
      </w:r>
      <w:r w:rsidR="00581176">
        <w:rPr>
          <w:rFonts w:ascii="Arial" w:hAnsi="Arial" w:cs="Arial"/>
        </w:rPr>
        <w:t>todos los daños o pérdida de bienes protegidos por el régimen administrativo especial, que se hayan presentado en un hecho generador de responsabilidad deben investigarse bajo una sola cuerda procesal, en garantía de la unidad procesal que se encuentra dispuesto en el artículo 41</w:t>
      </w:r>
      <w:r w:rsidR="004C290A">
        <w:rPr>
          <w:rStyle w:val="Refdenotaalpie"/>
          <w:rFonts w:ascii="Arial" w:hAnsi="Arial" w:cs="Arial"/>
        </w:rPr>
        <w:footnoteReference w:id="4"/>
      </w:r>
      <w:r w:rsidR="00581176">
        <w:rPr>
          <w:rFonts w:ascii="Arial" w:hAnsi="Arial" w:cs="Arial"/>
        </w:rPr>
        <w:t xml:space="preserve"> ídem. </w:t>
      </w:r>
      <w:r w:rsidR="000C355D" w:rsidRPr="00E4723C">
        <w:rPr>
          <w:rFonts w:ascii="Arial" w:hAnsi="Arial" w:cs="Arial"/>
        </w:rPr>
        <w:t xml:space="preserve">“Ahora bien, la acumulación es una figura que si bien es explicada su </w:t>
      </w:r>
      <w:r w:rsidR="000C355D" w:rsidRPr="00E4723C">
        <w:rPr>
          <w:rFonts w:ascii="Arial" w:hAnsi="Arial" w:cs="Arial"/>
        </w:rPr>
        <w:lastRenderedPageBreak/>
        <w:t>procedencia dentro de nuestro ordenamiento administrativo, solo el Código General del Proceso, desarrolla causales claras en las cuales procede la mencionada figura, es por ello que en virtud de la integración normativa  descrita en el artículo 10</w:t>
      </w:r>
      <w:r w:rsidR="000C355D" w:rsidRPr="00E4723C">
        <w:rPr>
          <w:rFonts w:ascii="Arial" w:hAnsi="Arial" w:cs="Arial"/>
        </w:rPr>
        <w:footnoteReference w:id="5"/>
      </w:r>
      <w:r w:rsidR="000C355D" w:rsidRPr="00E4723C">
        <w:rPr>
          <w:rFonts w:ascii="Arial" w:hAnsi="Arial" w:cs="Arial"/>
        </w:rPr>
        <w:t xml:space="preserve"> este despacho verifica lo contenido en el artículo 148</w:t>
      </w:r>
      <w:r w:rsidR="000C355D" w:rsidRPr="00E4723C">
        <w:rPr>
          <w:rFonts w:ascii="Arial" w:hAnsi="Arial" w:cs="Arial"/>
        </w:rPr>
        <w:footnoteReference w:id="6"/>
      </w:r>
      <w:r w:rsidR="000C355D" w:rsidRPr="00E4723C">
        <w:rPr>
          <w:rFonts w:ascii="Arial" w:hAnsi="Arial" w:cs="Arial"/>
        </w:rPr>
        <w:t xml:space="preserve"> del Código General del Proceso y su procedimiento se regirá de acuerdo a lo manifestado en los artículos 464 y 465 de dicho código, en ella se establece que la acumulación podrá surtirse hasta antes de la audiencia inicial o el mandamiento de pago, que en equivalencia a nuestro ordenamiento jurídico se entenderá antes de la etapa de cierre de la actuación; etapa que aún no supera las presentes actuaciones procesales.”</w:t>
      </w:r>
    </w:p>
    <w:p w14:paraId="439850DD" w14:textId="6CE5B2F9" w:rsidR="00F45167" w:rsidRDefault="00581176" w:rsidP="00CF1103">
      <w:pPr>
        <w:spacing w:line="360" w:lineRule="auto"/>
        <w:ind w:left="-567"/>
        <w:jc w:val="both"/>
        <w:rPr>
          <w:rFonts w:ascii="Arial" w:hAnsi="Arial" w:cs="Arial"/>
          <w:color w:val="BFBFBF"/>
        </w:rPr>
      </w:pPr>
      <w:r>
        <w:rPr>
          <w:rFonts w:ascii="Arial" w:hAnsi="Arial" w:cs="Arial"/>
        </w:rPr>
        <w:t>Conforme a lo anterior, es procedente que la su</w:t>
      </w:r>
      <w:r w:rsidR="004C290A">
        <w:rPr>
          <w:rFonts w:ascii="Arial" w:hAnsi="Arial" w:cs="Arial"/>
        </w:rPr>
        <w:t>scrita autoridad administrativa</w:t>
      </w:r>
      <w:r>
        <w:rPr>
          <w:rFonts w:ascii="Arial" w:hAnsi="Arial" w:cs="Arial"/>
        </w:rPr>
        <w:t xml:space="preserve">, analice los hechos en que se presentó la </w:t>
      </w:r>
      <w:r w:rsidRPr="00B634B4">
        <w:rPr>
          <w:rFonts w:ascii="Arial" w:hAnsi="Arial" w:cs="Arial"/>
          <w:color w:val="000000" w:themeColor="text1"/>
        </w:rPr>
        <w:t>pérdida o daño</w:t>
      </w:r>
      <w:r w:rsidR="00B634B4" w:rsidRPr="00B634B4">
        <w:rPr>
          <w:rFonts w:ascii="Arial" w:hAnsi="Arial" w:cs="Arial"/>
          <w:color w:val="000000" w:themeColor="text1"/>
        </w:rPr>
        <w:t xml:space="preserve"> </w:t>
      </w:r>
      <w:r>
        <w:rPr>
          <w:rFonts w:ascii="Arial" w:hAnsi="Arial" w:cs="Arial"/>
        </w:rPr>
        <w:t xml:space="preserve">de los bienes </w:t>
      </w:r>
      <w:r w:rsidR="004C290A" w:rsidRPr="004C290A">
        <w:rPr>
          <w:rFonts w:ascii="Arial" w:hAnsi="Arial" w:cs="Arial"/>
          <w:color w:val="BFBFBF" w:themeColor="background1" w:themeShade="BF"/>
        </w:rPr>
        <w:t>(indicar los bienes que son objeto de investigación del proceso que se va a agregar)</w:t>
      </w:r>
      <w:r w:rsidRPr="004C290A">
        <w:rPr>
          <w:rFonts w:ascii="Arial" w:hAnsi="Arial" w:cs="Arial"/>
          <w:color w:val="BFBFBF" w:themeColor="background1" w:themeShade="BF"/>
        </w:rPr>
        <w:t xml:space="preserve"> </w:t>
      </w:r>
      <w:r>
        <w:rPr>
          <w:rFonts w:ascii="Arial" w:hAnsi="Arial" w:cs="Arial"/>
        </w:rPr>
        <w:t>que son objeto de</w:t>
      </w:r>
      <w:r w:rsidR="004C290A">
        <w:rPr>
          <w:rFonts w:ascii="Arial" w:hAnsi="Arial" w:cs="Arial"/>
        </w:rPr>
        <w:t xml:space="preserve"> la</w:t>
      </w:r>
      <w:r>
        <w:rPr>
          <w:rFonts w:ascii="Arial" w:hAnsi="Arial" w:cs="Arial"/>
        </w:rPr>
        <w:t xml:space="preserve"> investigación </w:t>
      </w:r>
      <w:r w:rsidR="004C290A">
        <w:rPr>
          <w:rFonts w:ascii="Arial" w:hAnsi="Arial" w:cs="Arial"/>
        </w:rPr>
        <w:t xml:space="preserve">administrativa </w:t>
      </w:r>
      <w:r w:rsidR="00905180" w:rsidRPr="00BB2379">
        <w:rPr>
          <w:rFonts w:ascii="Arial" w:hAnsi="Arial" w:cs="Arial"/>
          <w:bCs/>
          <w:iCs/>
        </w:rPr>
        <w:t>con radicado único SIDAE N°</w:t>
      </w:r>
      <w:r w:rsidR="00905180" w:rsidRPr="00BB2379">
        <w:rPr>
          <w:rFonts w:ascii="Arial" w:hAnsi="Arial" w:cs="Arial"/>
        </w:rPr>
        <w:t xml:space="preserve"> (…se indica el número del radicado otorgado por la plataforma SIDAE)</w:t>
      </w:r>
      <w:r w:rsidR="00905180">
        <w:rPr>
          <w:rFonts w:cs="Arial"/>
        </w:rPr>
        <w:t xml:space="preserve"> </w:t>
      </w:r>
      <w:r>
        <w:rPr>
          <w:rFonts w:ascii="Arial" w:hAnsi="Arial" w:cs="Arial"/>
        </w:rPr>
        <w:t>y los que viene</w:t>
      </w:r>
      <w:r w:rsidR="004C290A">
        <w:rPr>
          <w:rFonts w:ascii="Arial" w:hAnsi="Arial" w:cs="Arial"/>
        </w:rPr>
        <w:t>n</w:t>
      </w:r>
      <w:r>
        <w:rPr>
          <w:rFonts w:ascii="Arial" w:hAnsi="Arial" w:cs="Arial"/>
        </w:rPr>
        <w:t xml:space="preserve"> siendo objeto del presente </w:t>
      </w:r>
      <w:r>
        <w:rPr>
          <w:rFonts w:ascii="Arial" w:hAnsi="Arial" w:cs="Arial"/>
        </w:rPr>
        <w:lastRenderedPageBreak/>
        <w:t>proceso administrativo</w:t>
      </w:r>
      <w:r w:rsidR="004C290A">
        <w:rPr>
          <w:rFonts w:ascii="Arial" w:hAnsi="Arial" w:cs="Arial"/>
        </w:rPr>
        <w:t>,</w:t>
      </w:r>
      <w:r>
        <w:rPr>
          <w:rFonts w:ascii="Arial" w:hAnsi="Arial" w:cs="Arial"/>
        </w:rPr>
        <w:t xml:space="preserve"> </w:t>
      </w:r>
      <w:r w:rsidR="004C290A">
        <w:rPr>
          <w:rFonts w:ascii="Arial" w:hAnsi="Arial" w:cs="Arial"/>
        </w:rPr>
        <w:t xml:space="preserve">a fin de determinar si hay lugar a ordenar la agregación de dichas diligencias, en el entendido que esta investigación </w:t>
      </w:r>
      <w:r w:rsidR="00F45167">
        <w:rPr>
          <w:rFonts w:ascii="Arial" w:hAnsi="Arial" w:cs="Arial"/>
        </w:rPr>
        <w:t xml:space="preserve">administrativa </w:t>
      </w:r>
      <w:r w:rsidR="004C290A">
        <w:rPr>
          <w:rFonts w:ascii="Arial" w:hAnsi="Arial" w:cs="Arial"/>
        </w:rPr>
        <w:t xml:space="preserve">se encuentra más adelantada </w:t>
      </w:r>
      <w:r w:rsidR="004C290A" w:rsidRPr="00F45167">
        <w:rPr>
          <w:rFonts w:ascii="Arial" w:hAnsi="Arial" w:cs="Arial"/>
          <w:color w:val="BFBFBF" w:themeColor="background1" w:themeShade="BF"/>
        </w:rPr>
        <w:t>(explicar el por qu</w:t>
      </w:r>
      <w:r w:rsidR="00F45167">
        <w:rPr>
          <w:rFonts w:ascii="Arial" w:hAnsi="Arial" w:cs="Arial"/>
          <w:color w:val="BFBFBF" w:themeColor="background1" w:themeShade="BF"/>
        </w:rPr>
        <w:t>é</w:t>
      </w:r>
      <w:r w:rsidR="004C290A" w:rsidRPr="00F45167">
        <w:rPr>
          <w:rFonts w:ascii="Arial" w:hAnsi="Arial" w:cs="Arial"/>
          <w:color w:val="BFBFBF" w:themeColor="background1" w:themeShade="BF"/>
        </w:rPr>
        <w:t xml:space="preserve"> se considera así) </w:t>
      </w:r>
      <w:r w:rsidR="00AA69FD">
        <w:rPr>
          <w:rFonts w:ascii="Arial" w:hAnsi="Arial" w:cs="Arial"/>
          <w:color w:val="000000" w:themeColor="text1"/>
        </w:rPr>
        <w:t xml:space="preserve">teniendo en cuenta para tal fin los siguientes planteamientos </w:t>
      </w:r>
      <w:r w:rsidR="00F45167" w:rsidRPr="00382E39">
        <w:rPr>
          <w:rFonts w:ascii="Arial" w:hAnsi="Arial" w:cs="Arial"/>
          <w:color w:val="BFBFBF"/>
        </w:rPr>
        <w:t xml:space="preserve">(…se </w:t>
      </w:r>
      <w:r w:rsidR="00F45167">
        <w:rPr>
          <w:rFonts w:ascii="Arial" w:hAnsi="Arial" w:cs="Arial"/>
          <w:color w:val="BFBFBF"/>
        </w:rPr>
        <w:t xml:space="preserve">argumentan las razones y </w:t>
      </w:r>
      <w:r w:rsidR="00F45167" w:rsidRPr="00580A4C">
        <w:rPr>
          <w:rFonts w:ascii="Arial" w:hAnsi="Arial" w:cs="Arial"/>
          <w:color w:val="BFBFBF"/>
        </w:rPr>
        <w:t>consideraciones</w:t>
      </w:r>
      <w:r w:rsidR="00F45167" w:rsidRPr="00382E39">
        <w:rPr>
          <w:rFonts w:ascii="Arial" w:hAnsi="Arial" w:cs="Arial"/>
          <w:color w:val="BFBFBF"/>
        </w:rPr>
        <w:t xml:space="preserve"> </w:t>
      </w:r>
      <w:r w:rsidR="00F45167">
        <w:rPr>
          <w:rFonts w:ascii="Arial" w:hAnsi="Arial" w:cs="Arial"/>
          <w:color w:val="BFBFBF"/>
        </w:rPr>
        <w:t xml:space="preserve">fácticas y jurídicas, así como los fundamentos legales, que conllevan </w:t>
      </w:r>
      <w:r w:rsidR="00F45167" w:rsidRPr="00F45167">
        <w:rPr>
          <w:rFonts w:ascii="Arial" w:hAnsi="Arial" w:cs="Arial"/>
          <w:color w:val="BFBFBF" w:themeColor="background1" w:themeShade="BF"/>
        </w:rPr>
        <w:t>a generar agregar un proceso al otro en garantía de la unidad procesal</w:t>
      </w:r>
      <w:r w:rsidR="00AA69FD">
        <w:rPr>
          <w:rFonts w:ascii="Arial" w:hAnsi="Arial" w:cs="Arial"/>
          <w:color w:val="BFBFBF" w:themeColor="background1" w:themeShade="BF"/>
        </w:rPr>
        <w:t xml:space="preserve">, además deberá aclararse en este acápite </w:t>
      </w:r>
      <w:r w:rsidR="00750D7E">
        <w:rPr>
          <w:rFonts w:ascii="Arial" w:hAnsi="Arial" w:cs="Arial"/>
          <w:color w:val="BFBFBF" w:themeColor="background1" w:themeShade="BF"/>
        </w:rPr>
        <w:t>cuáles</w:t>
      </w:r>
      <w:r w:rsidR="00AA69FD">
        <w:rPr>
          <w:rFonts w:ascii="Arial" w:hAnsi="Arial" w:cs="Arial"/>
          <w:color w:val="BFBFBF" w:themeColor="background1" w:themeShade="BF"/>
        </w:rPr>
        <w:t xml:space="preserve"> serán los bienes </w:t>
      </w:r>
      <w:r w:rsidR="00750D7E">
        <w:rPr>
          <w:rFonts w:ascii="Arial" w:hAnsi="Arial" w:cs="Arial"/>
          <w:color w:val="BFBFBF" w:themeColor="background1" w:themeShade="BF"/>
        </w:rPr>
        <w:t>objeto de investigación como consecuencia de la agregación</w:t>
      </w:r>
      <w:r w:rsidR="00F45167">
        <w:rPr>
          <w:rFonts w:ascii="Arial" w:hAnsi="Arial" w:cs="Arial"/>
          <w:color w:val="BFBFBF"/>
        </w:rPr>
        <w:t xml:space="preserve">). </w:t>
      </w:r>
    </w:p>
    <w:p w14:paraId="4563019B" w14:textId="77777777" w:rsidR="00B42BB6" w:rsidRDefault="00B42BB6" w:rsidP="00CF1103">
      <w:pPr>
        <w:spacing w:line="360" w:lineRule="auto"/>
        <w:ind w:left="-567"/>
        <w:jc w:val="both"/>
        <w:rPr>
          <w:rFonts w:ascii="Arial" w:hAnsi="Arial" w:cs="Arial"/>
          <w:color w:val="BFBFBF"/>
        </w:rPr>
      </w:pPr>
    </w:p>
    <w:p w14:paraId="0241708D" w14:textId="257021AD" w:rsidR="00B42BB6" w:rsidRPr="00AA69FD" w:rsidRDefault="00B42BB6" w:rsidP="00CF1103">
      <w:pPr>
        <w:spacing w:line="360" w:lineRule="auto"/>
        <w:ind w:left="-567"/>
        <w:jc w:val="both"/>
        <w:rPr>
          <w:rFonts w:ascii="Arial" w:hAnsi="Arial" w:cs="Arial"/>
          <w:color w:val="000000" w:themeColor="text1"/>
        </w:rPr>
      </w:pPr>
      <w:r>
        <w:rPr>
          <w:rFonts w:ascii="Arial" w:hAnsi="Arial" w:cs="Arial"/>
          <w:color w:val="BFBFBF"/>
        </w:rPr>
        <w:t xml:space="preserve">(Por lo anterior, se recalca </w:t>
      </w:r>
      <w:r w:rsidR="00E4723C">
        <w:rPr>
          <w:rFonts w:ascii="Arial" w:hAnsi="Arial" w:cs="Arial"/>
          <w:color w:val="BFBFBF"/>
        </w:rPr>
        <w:t>que,</w:t>
      </w:r>
      <w:r>
        <w:rPr>
          <w:rFonts w:ascii="Arial" w:hAnsi="Arial" w:cs="Arial"/>
          <w:color w:val="BFBFBF"/>
        </w:rPr>
        <w:t xml:space="preserve"> en estudio de la agregación de un expediente a otro producto de la figura de unidad procesal, indistintamente del número de bienes, y de la cantidad de implicados, de haberse presentado el daño o la pérdida en un mismo hecho generador de responsabilidad, deberá adelantarse solo una actuación procesal)   </w:t>
      </w:r>
    </w:p>
    <w:p w14:paraId="23879183" w14:textId="77777777" w:rsidR="00F45167" w:rsidRDefault="00F45167" w:rsidP="00CF1103">
      <w:pPr>
        <w:spacing w:line="360" w:lineRule="auto"/>
        <w:ind w:left="-567"/>
        <w:jc w:val="both"/>
        <w:rPr>
          <w:rFonts w:ascii="Arial" w:hAnsi="Arial" w:cs="Arial"/>
        </w:rPr>
      </w:pPr>
    </w:p>
    <w:p w14:paraId="22E62297" w14:textId="77777777" w:rsidR="00785C54" w:rsidRPr="00020AF3" w:rsidRDefault="00785C54" w:rsidP="00CF1103">
      <w:pPr>
        <w:pStyle w:val="Textoindependiente"/>
        <w:spacing w:after="0" w:line="360" w:lineRule="auto"/>
        <w:ind w:left="-567" w:right="51"/>
        <w:jc w:val="both"/>
        <w:rPr>
          <w:rFonts w:ascii="Arial" w:hAnsi="Arial" w:cs="Arial"/>
          <w:color w:val="000000"/>
        </w:rPr>
      </w:pPr>
      <w:r w:rsidRPr="00020AF3">
        <w:rPr>
          <w:rFonts w:ascii="Arial" w:hAnsi="Arial" w:cs="Arial"/>
        </w:rPr>
        <w:t xml:space="preserve">En mérito de lo antes expuesto, el suscrito </w:t>
      </w:r>
      <w:r w:rsidR="00F45167" w:rsidRPr="00237E10">
        <w:rPr>
          <w:rFonts w:ascii="Arial" w:hAnsi="Arial" w:cs="Arial"/>
          <w:color w:val="BFBFBF"/>
        </w:rPr>
        <w:t xml:space="preserve">(… Grado y Cargo del Funcionario </w:t>
      </w:r>
      <w:r w:rsidR="00F45167">
        <w:rPr>
          <w:rFonts w:ascii="Arial" w:hAnsi="Arial" w:cs="Arial"/>
          <w:color w:val="BFBFBF"/>
        </w:rPr>
        <w:t>que propone la colisión</w:t>
      </w:r>
      <w:r w:rsidR="00F45167" w:rsidRPr="00237E10">
        <w:rPr>
          <w:rFonts w:ascii="Arial" w:hAnsi="Arial" w:cs="Arial"/>
          <w:color w:val="BFBFBF"/>
        </w:rPr>
        <w:t>…)</w:t>
      </w:r>
      <w:r w:rsidRPr="00020AF3">
        <w:rPr>
          <w:rFonts w:ascii="Arial" w:hAnsi="Arial" w:cs="Arial"/>
        </w:rPr>
        <w:t xml:space="preserve">, en calidad de Funcionario Competente y en pleno uso de las facultades legales que le confiere la Ley 1476 de 2011 </w:t>
      </w:r>
      <w:r w:rsidRPr="00020AF3">
        <w:rPr>
          <w:rFonts w:ascii="Arial" w:hAnsi="Arial" w:cs="Arial"/>
          <w:i/>
        </w:rPr>
        <w:t>“</w:t>
      </w:r>
      <w:r w:rsidRPr="00020AF3">
        <w:rPr>
          <w:rFonts w:ascii="Arial" w:hAnsi="Arial" w:cs="Arial"/>
          <w:i/>
          <w:color w:val="000000"/>
        </w:rPr>
        <w:t>Por la cual se expide el régimen de responsabilidad administrativa por pérdida o daño de bienes de propiedad o al servicio del Ministerio de Defensa Nacional, sus entidades adscritas o vinculadas o la Fuerza Pública”,</w:t>
      </w:r>
    </w:p>
    <w:p w14:paraId="71C9B6B8" w14:textId="77777777" w:rsidR="00785C54" w:rsidRPr="00020AF3" w:rsidRDefault="00785C54" w:rsidP="00785C54">
      <w:pPr>
        <w:spacing w:line="360" w:lineRule="auto"/>
        <w:jc w:val="center"/>
        <w:rPr>
          <w:rFonts w:ascii="Arial" w:hAnsi="Arial" w:cs="Arial"/>
          <w:b/>
          <w:u w:val="single"/>
        </w:rPr>
      </w:pPr>
    </w:p>
    <w:p w14:paraId="6273B611" w14:textId="77777777" w:rsidR="00785C54" w:rsidRPr="00020AF3" w:rsidRDefault="00785C54" w:rsidP="00785C54">
      <w:pPr>
        <w:spacing w:line="360" w:lineRule="auto"/>
        <w:jc w:val="center"/>
        <w:rPr>
          <w:rFonts w:ascii="Arial" w:hAnsi="Arial" w:cs="Arial"/>
          <w:b/>
          <w:u w:val="single"/>
        </w:rPr>
      </w:pPr>
      <w:r w:rsidRPr="00020AF3">
        <w:rPr>
          <w:rFonts w:ascii="Arial" w:hAnsi="Arial" w:cs="Arial"/>
          <w:b/>
          <w:u w:val="single"/>
        </w:rPr>
        <w:t>RESUELVE</w:t>
      </w:r>
    </w:p>
    <w:p w14:paraId="0C1C8285" w14:textId="77777777" w:rsidR="00785C54" w:rsidRPr="00020AF3" w:rsidRDefault="00785C54" w:rsidP="00785C54">
      <w:pPr>
        <w:spacing w:line="360" w:lineRule="auto"/>
        <w:jc w:val="both"/>
        <w:rPr>
          <w:rFonts w:ascii="Arial" w:hAnsi="Arial" w:cs="Arial"/>
          <w:b/>
        </w:rPr>
      </w:pPr>
    </w:p>
    <w:p w14:paraId="3CC7E1B6" w14:textId="502E0CF7" w:rsidR="00AA69FD" w:rsidRDefault="00785C54" w:rsidP="00AA69FD">
      <w:pPr>
        <w:spacing w:line="360" w:lineRule="auto"/>
        <w:ind w:left="1701" w:hanging="1701"/>
        <w:jc w:val="both"/>
        <w:rPr>
          <w:rFonts w:ascii="Arial" w:hAnsi="Arial" w:cs="Arial"/>
          <w:b/>
        </w:rPr>
      </w:pPr>
      <w:r w:rsidRPr="00020AF3">
        <w:rPr>
          <w:rFonts w:ascii="Arial" w:hAnsi="Arial" w:cs="Arial"/>
          <w:b/>
        </w:rPr>
        <w:t xml:space="preserve">PRIMERO: </w:t>
      </w:r>
      <w:r w:rsidR="00AA69FD">
        <w:rPr>
          <w:rFonts w:ascii="Arial" w:hAnsi="Arial" w:cs="Arial"/>
          <w:b/>
        </w:rPr>
        <w:tab/>
        <w:t xml:space="preserve">DISPONER </w:t>
      </w:r>
      <w:r w:rsidR="00AA69FD">
        <w:rPr>
          <w:rFonts w:ascii="Arial" w:hAnsi="Arial" w:cs="Arial"/>
        </w:rPr>
        <w:t xml:space="preserve">la agregación de la Investigación Administrativa </w:t>
      </w:r>
      <w:r w:rsidR="00905180" w:rsidRPr="00BB2379">
        <w:rPr>
          <w:rFonts w:ascii="Arial" w:hAnsi="Arial" w:cs="Arial"/>
          <w:bCs/>
          <w:iCs/>
        </w:rPr>
        <w:t>con radicado único SIDAE N°</w:t>
      </w:r>
      <w:r w:rsidR="00905180" w:rsidRPr="00BB2379">
        <w:rPr>
          <w:rFonts w:ascii="Arial" w:hAnsi="Arial" w:cs="Arial"/>
        </w:rPr>
        <w:t xml:space="preserve"> </w:t>
      </w:r>
      <w:r w:rsidR="00905180" w:rsidRPr="00E4723C">
        <w:rPr>
          <w:rFonts w:ascii="Arial" w:hAnsi="Arial" w:cs="Arial"/>
          <w:color w:val="BFBFBF" w:themeColor="background1" w:themeShade="BF"/>
        </w:rPr>
        <w:t>(…se indica el número del radicado otorgado por la plataforma SIDAE de la investigación a agregar)</w:t>
      </w:r>
      <w:r w:rsidR="00905180" w:rsidRPr="00E4723C" w:rsidDel="00905180">
        <w:rPr>
          <w:rFonts w:ascii="Arial" w:hAnsi="Arial" w:cs="Arial"/>
          <w:color w:val="BFBFBF" w:themeColor="background1" w:themeShade="BF"/>
        </w:rPr>
        <w:t xml:space="preserve"> </w:t>
      </w:r>
      <w:r w:rsidR="00AA69FD">
        <w:rPr>
          <w:rFonts w:ascii="Arial" w:hAnsi="Arial" w:cs="Arial"/>
        </w:rPr>
        <w:t xml:space="preserve">a la presente actuación </w:t>
      </w:r>
      <w:r w:rsidR="00AA69FD" w:rsidRPr="00020AF3">
        <w:rPr>
          <w:rFonts w:ascii="Arial" w:hAnsi="Arial" w:cs="Arial"/>
        </w:rPr>
        <w:t>de conformidad con el artículo 41</w:t>
      </w:r>
      <w:r w:rsidR="00750D7E">
        <w:rPr>
          <w:rFonts w:ascii="Arial" w:hAnsi="Arial" w:cs="Arial"/>
        </w:rPr>
        <w:t>°</w:t>
      </w:r>
      <w:r w:rsidR="00AA69FD" w:rsidRPr="00020AF3">
        <w:rPr>
          <w:rFonts w:ascii="Arial" w:hAnsi="Arial" w:cs="Arial"/>
        </w:rPr>
        <w:t xml:space="preserve"> de la Ley 1476 de 2011. Para el efecto dispóngase la respectiva incorporación de los expedientes. </w:t>
      </w:r>
      <w:r w:rsidR="00AA69FD" w:rsidRPr="00020AF3">
        <w:rPr>
          <w:rFonts w:ascii="Arial" w:hAnsi="Arial" w:cs="Arial"/>
          <w:b/>
        </w:rPr>
        <w:t xml:space="preserve"> </w:t>
      </w:r>
    </w:p>
    <w:p w14:paraId="5B2AE233" w14:textId="77777777" w:rsidR="00785C54" w:rsidRPr="00020AF3" w:rsidRDefault="00785C54" w:rsidP="00785C54">
      <w:pPr>
        <w:spacing w:line="360" w:lineRule="auto"/>
        <w:ind w:left="1701" w:hanging="1701"/>
        <w:jc w:val="both"/>
        <w:rPr>
          <w:rFonts w:ascii="Arial" w:hAnsi="Arial" w:cs="Arial"/>
        </w:rPr>
      </w:pPr>
    </w:p>
    <w:p w14:paraId="1734ABA0" w14:textId="77777777" w:rsidR="00AA69FD" w:rsidRPr="00AA69FD" w:rsidRDefault="00785C54" w:rsidP="00785C54">
      <w:pPr>
        <w:spacing w:line="360" w:lineRule="auto"/>
        <w:ind w:left="1701" w:hanging="1701"/>
        <w:jc w:val="both"/>
        <w:rPr>
          <w:rFonts w:ascii="Arial" w:hAnsi="Arial" w:cs="Arial"/>
          <w:color w:val="BFBFBF" w:themeColor="background1" w:themeShade="BF"/>
        </w:rPr>
      </w:pPr>
      <w:r w:rsidRPr="00020AF3">
        <w:rPr>
          <w:rFonts w:ascii="Arial" w:hAnsi="Arial" w:cs="Arial"/>
          <w:b/>
        </w:rPr>
        <w:t xml:space="preserve">SEGUNDO: </w:t>
      </w:r>
      <w:r w:rsidRPr="00020AF3">
        <w:rPr>
          <w:rFonts w:ascii="Arial" w:hAnsi="Arial" w:cs="Arial"/>
          <w:b/>
        </w:rPr>
        <w:tab/>
      </w:r>
      <w:r w:rsidRPr="00AA69FD">
        <w:rPr>
          <w:rFonts w:ascii="Arial" w:hAnsi="Arial" w:cs="Arial"/>
          <w:b/>
        </w:rPr>
        <w:t>A</w:t>
      </w:r>
      <w:r w:rsidR="00AA69FD" w:rsidRPr="00AA69FD">
        <w:rPr>
          <w:rFonts w:ascii="Arial" w:hAnsi="Arial" w:cs="Arial"/>
          <w:b/>
        </w:rPr>
        <w:t>CLARAR</w:t>
      </w:r>
      <w:r w:rsidR="00AA69FD">
        <w:rPr>
          <w:rFonts w:ascii="Arial" w:hAnsi="Arial" w:cs="Arial"/>
        </w:rPr>
        <w:t xml:space="preserve"> que los bienes objeto del presente proceso administrativo a partir del momento serán los siguientes</w:t>
      </w:r>
      <w:r w:rsidR="00750D7E">
        <w:rPr>
          <w:rFonts w:ascii="Arial" w:hAnsi="Arial" w:cs="Arial"/>
        </w:rPr>
        <w:t>:</w:t>
      </w:r>
      <w:r w:rsidR="00AA69FD">
        <w:rPr>
          <w:rFonts w:ascii="Arial" w:hAnsi="Arial" w:cs="Arial"/>
        </w:rPr>
        <w:t xml:space="preserve"> </w:t>
      </w:r>
      <w:r w:rsidR="00AA69FD" w:rsidRPr="00AA69FD">
        <w:rPr>
          <w:rFonts w:ascii="Arial" w:hAnsi="Arial" w:cs="Arial"/>
          <w:color w:val="BFBFBF" w:themeColor="background1" w:themeShade="BF"/>
        </w:rPr>
        <w:t xml:space="preserve">(Indicar conforme a la agregación generada, cuales son los bienes que por daño o pérdida son objeto de investigación, tras la agregación ordenada)  </w:t>
      </w:r>
    </w:p>
    <w:p w14:paraId="5AA8DE95" w14:textId="77777777" w:rsidR="00785C54" w:rsidRPr="00020AF3" w:rsidRDefault="00785C54" w:rsidP="00785C54">
      <w:pPr>
        <w:spacing w:line="360" w:lineRule="auto"/>
        <w:ind w:left="1701" w:hanging="1701"/>
        <w:jc w:val="both"/>
        <w:rPr>
          <w:rFonts w:ascii="Arial" w:hAnsi="Arial" w:cs="Arial"/>
          <w:b/>
        </w:rPr>
      </w:pPr>
    </w:p>
    <w:p w14:paraId="1B6FE295" w14:textId="77777777" w:rsidR="00785C54" w:rsidRPr="00020AF3" w:rsidRDefault="00785C54" w:rsidP="00750D7E">
      <w:pPr>
        <w:spacing w:line="360" w:lineRule="auto"/>
        <w:ind w:left="1701" w:hanging="1701"/>
        <w:jc w:val="both"/>
        <w:rPr>
          <w:rFonts w:ascii="Arial" w:hAnsi="Arial" w:cs="Arial"/>
        </w:rPr>
      </w:pPr>
      <w:r w:rsidRPr="00020AF3">
        <w:rPr>
          <w:rFonts w:ascii="Arial" w:hAnsi="Arial" w:cs="Arial"/>
          <w:b/>
        </w:rPr>
        <w:lastRenderedPageBreak/>
        <w:t xml:space="preserve">TERCERO: </w:t>
      </w:r>
      <w:r w:rsidRPr="00020AF3">
        <w:rPr>
          <w:rFonts w:ascii="Arial" w:hAnsi="Arial" w:cs="Arial"/>
          <w:b/>
        </w:rPr>
        <w:tab/>
        <w:t xml:space="preserve">NOTIFICAR </w:t>
      </w:r>
      <w:r w:rsidRPr="00020AF3">
        <w:rPr>
          <w:rFonts w:ascii="Arial" w:hAnsi="Arial" w:cs="Arial"/>
        </w:rPr>
        <w:t xml:space="preserve">a los sujetos procesales </w:t>
      </w:r>
      <w:r w:rsidR="00750D7E" w:rsidRPr="00750D7E">
        <w:rPr>
          <w:rFonts w:ascii="Arial" w:hAnsi="Arial" w:cs="Arial"/>
          <w:color w:val="BFBFBF" w:themeColor="background1" w:themeShade="BF"/>
        </w:rPr>
        <w:t>(indicar grado y nombres)</w:t>
      </w:r>
      <w:r w:rsidR="00750D7E">
        <w:rPr>
          <w:rFonts w:ascii="Arial" w:hAnsi="Arial" w:cs="Arial"/>
        </w:rPr>
        <w:t xml:space="preserve"> </w:t>
      </w:r>
      <w:r w:rsidRPr="00020AF3">
        <w:rPr>
          <w:rFonts w:ascii="Arial" w:hAnsi="Arial" w:cs="Arial"/>
        </w:rPr>
        <w:t>el contenido del presente proveído por Estado,</w:t>
      </w:r>
      <w:r w:rsidRPr="00020AF3">
        <w:rPr>
          <w:rFonts w:ascii="Arial" w:hAnsi="Arial" w:cs="Arial"/>
          <w:b/>
        </w:rPr>
        <w:t xml:space="preserve"> </w:t>
      </w:r>
      <w:r w:rsidRPr="00020AF3">
        <w:rPr>
          <w:rFonts w:ascii="Arial" w:hAnsi="Arial" w:cs="Arial"/>
        </w:rPr>
        <w:t>en los términos previstos en el artículo 295º</w:t>
      </w:r>
      <w:r w:rsidRPr="00020AF3">
        <w:rPr>
          <w:rStyle w:val="Refdenotaalpie"/>
          <w:rFonts w:ascii="Arial" w:hAnsi="Arial" w:cs="Arial"/>
          <w:b/>
        </w:rPr>
        <w:footnoteReference w:id="7"/>
      </w:r>
      <w:r w:rsidRPr="00020AF3">
        <w:rPr>
          <w:rFonts w:ascii="Arial" w:hAnsi="Arial" w:cs="Arial"/>
        </w:rPr>
        <w:t xml:space="preserve"> de la Ley 1564 de 2012, al cual se debe hacer remisión por expreso mandato del artículo 10º</w:t>
      </w:r>
      <w:r w:rsidRPr="00020AF3">
        <w:rPr>
          <w:rStyle w:val="Refdenotaalpie"/>
          <w:rFonts w:ascii="Arial" w:hAnsi="Arial" w:cs="Arial"/>
          <w:b/>
        </w:rPr>
        <w:footnoteReference w:id="8"/>
      </w:r>
      <w:r w:rsidRPr="00020AF3">
        <w:rPr>
          <w:rFonts w:ascii="Arial" w:hAnsi="Arial" w:cs="Arial"/>
        </w:rPr>
        <w:t xml:space="preserve"> de la Ley 1476 de 2011.</w:t>
      </w:r>
    </w:p>
    <w:p w14:paraId="2E54298C" w14:textId="77777777" w:rsidR="00785C54" w:rsidRPr="00020AF3" w:rsidRDefault="00785C54" w:rsidP="00785C54">
      <w:pPr>
        <w:spacing w:line="360" w:lineRule="auto"/>
        <w:ind w:left="1701" w:hanging="1701"/>
        <w:jc w:val="both"/>
        <w:rPr>
          <w:rFonts w:ascii="Arial" w:hAnsi="Arial" w:cs="Arial"/>
        </w:rPr>
      </w:pPr>
    </w:p>
    <w:p w14:paraId="6DCABB45" w14:textId="77777777" w:rsidR="00785C54" w:rsidRPr="00020AF3" w:rsidRDefault="00750D7E" w:rsidP="00785C54">
      <w:pPr>
        <w:spacing w:line="360" w:lineRule="auto"/>
        <w:ind w:left="1701" w:hanging="1701"/>
        <w:jc w:val="both"/>
        <w:rPr>
          <w:rFonts w:ascii="Arial" w:hAnsi="Arial" w:cs="Arial"/>
        </w:rPr>
      </w:pPr>
      <w:r>
        <w:rPr>
          <w:rFonts w:ascii="Arial" w:hAnsi="Arial" w:cs="Arial"/>
          <w:b/>
        </w:rPr>
        <w:t>CUARTO</w:t>
      </w:r>
      <w:r w:rsidR="00785C54" w:rsidRPr="00020AF3">
        <w:rPr>
          <w:rFonts w:ascii="Arial" w:hAnsi="Arial" w:cs="Arial"/>
          <w:b/>
        </w:rPr>
        <w:t>:</w:t>
      </w:r>
      <w:r w:rsidR="00785C54" w:rsidRPr="00020AF3">
        <w:rPr>
          <w:rFonts w:ascii="Arial" w:hAnsi="Arial" w:cs="Arial"/>
          <w:b/>
        </w:rPr>
        <w:tab/>
      </w:r>
      <w:r w:rsidR="00785C54" w:rsidRPr="00020AF3">
        <w:rPr>
          <w:rFonts w:ascii="Arial" w:hAnsi="Arial" w:cs="Arial"/>
        </w:rPr>
        <w:t xml:space="preserve">Contra la presente decisión </w:t>
      </w:r>
      <w:r w:rsidR="00785C54" w:rsidRPr="00020AF3">
        <w:rPr>
          <w:rFonts w:ascii="Arial" w:hAnsi="Arial" w:cs="Arial"/>
          <w:b/>
        </w:rPr>
        <w:t>No</w:t>
      </w:r>
      <w:r w:rsidR="00785C54" w:rsidRPr="00020AF3">
        <w:rPr>
          <w:rFonts w:ascii="Arial" w:hAnsi="Arial" w:cs="Arial"/>
        </w:rPr>
        <w:t xml:space="preserve"> procede recurso alguno.</w:t>
      </w:r>
    </w:p>
    <w:p w14:paraId="157F36FC" w14:textId="77777777" w:rsidR="00785C54" w:rsidRPr="00020AF3" w:rsidRDefault="00785C54" w:rsidP="00785C54">
      <w:pPr>
        <w:spacing w:line="360" w:lineRule="auto"/>
        <w:ind w:left="1701" w:hanging="1701"/>
        <w:jc w:val="both"/>
        <w:rPr>
          <w:rFonts w:ascii="Arial" w:hAnsi="Arial" w:cs="Arial"/>
        </w:rPr>
      </w:pPr>
    </w:p>
    <w:p w14:paraId="4C6D3132" w14:textId="77777777" w:rsidR="00785C54" w:rsidRPr="00020AF3" w:rsidRDefault="00785C54" w:rsidP="00785C54">
      <w:pPr>
        <w:spacing w:line="360" w:lineRule="auto"/>
        <w:ind w:left="1701" w:hanging="1701"/>
        <w:jc w:val="both"/>
        <w:rPr>
          <w:rFonts w:ascii="Arial" w:hAnsi="Arial" w:cs="Arial"/>
        </w:rPr>
      </w:pPr>
    </w:p>
    <w:p w14:paraId="1405283A" w14:textId="77777777" w:rsidR="00785C54" w:rsidRPr="00020AF3" w:rsidRDefault="00785C54" w:rsidP="00785C54">
      <w:pPr>
        <w:spacing w:line="360" w:lineRule="auto"/>
        <w:jc w:val="center"/>
        <w:rPr>
          <w:rFonts w:ascii="Arial" w:hAnsi="Arial" w:cs="Arial"/>
          <w:b/>
        </w:rPr>
      </w:pPr>
      <w:r w:rsidRPr="00020AF3">
        <w:rPr>
          <w:rFonts w:ascii="Arial" w:hAnsi="Arial" w:cs="Arial"/>
          <w:b/>
        </w:rPr>
        <w:t>NOTIFÍQUESE Y CÚMPLASE.</w:t>
      </w:r>
    </w:p>
    <w:p w14:paraId="24E5037A" w14:textId="77777777" w:rsidR="00785C54" w:rsidRPr="00020AF3" w:rsidRDefault="00785C54" w:rsidP="00785C54">
      <w:pPr>
        <w:ind w:left="-851"/>
        <w:jc w:val="center"/>
        <w:rPr>
          <w:rFonts w:ascii="Arial" w:eastAsia="Calibri" w:hAnsi="Arial" w:cs="Arial"/>
        </w:rPr>
      </w:pPr>
    </w:p>
    <w:p w14:paraId="00C320F6" w14:textId="77777777" w:rsidR="00785C54" w:rsidRPr="00020AF3" w:rsidRDefault="00785C54" w:rsidP="00785C54">
      <w:pPr>
        <w:ind w:left="-851"/>
        <w:jc w:val="center"/>
        <w:rPr>
          <w:rFonts w:ascii="Arial" w:eastAsia="Calibri" w:hAnsi="Arial" w:cs="Arial"/>
        </w:rPr>
      </w:pPr>
    </w:p>
    <w:p w14:paraId="600F1861" w14:textId="77777777" w:rsidR="00785C54" w:rsidRPr="00020AF3" w:rsidRDefault="00785C54" w:rsidP="00FC7A67">
      <w:pPr>
        <w:rPr>
          <w:rFonts w:ascii="Arial" w:eastAsia="Calibri" w:hAnsi="Arial" w:cs="Arial"/>
        </w:rPr>
      </w:pPr>
    </w:p>
    <w:p w14:paraId="3E273B5F" w14:textId="77777777" w:rsidR="00785C54" w:rsidRPr="00020AF3" w:rsidRDefault="00785C54" w:rsidP="00785C54">
      <w:pPr>
        <w:ind w:left="-851"/>
        <w:jc w:val="center"/>
        <w:rPr>
          <w:rFonts w:ascii="Arial" w:eastAsia="Calibri" w:hAnsi="Arial" w:cs="Arial"/>
        </w:rPr>
      </w:pPr>
    </w:p>
    <w:p w14:paraId="021D8834" w14:textId="77777777" w:rsidR="00750D7E" w:rsidRPr="00237E10" w:rsidRDefault="00750D7E" w:rsidP="00750D7E">
      <w:pPr>
        <w:spacing w:line="360" w:lineRule="auto"/>
        <w:ind w:right="51"/>
        <w:jc w:val="center"/>
        <w:rPr>
          <w:rFonts w:ascii="Arial" w:hAnsi="Arial" w:cs="Arial"/>
          <w:color w:val="BFBFBF"/>
        </w:rPr>
      </w:pPr>
      <w:r w:rsidRPr="00237E10">
        <w:rPr>
          <w:rFonts w:ascii="Arial" w:hAnsi="Arial" w:cs="Arial"/>
          <w:color w:val="BFBFBF"/>
        </w:rPr>
        <w:t>(… Grado, Nombres y Apellidos Funcionario Competente …)</w:t>
      </w:r>
    </w:p>
    <w:p w14:paraId="41FEDA74" w14:textId="77777777" w:rsidR="00750D7E" w:rsidRPr="00237E10" w:rsidRDefault="00750D7E" w:rsidP="00750D7E">
      <w:pPr>
        <w:spacing w:line="360" w:lineRule="auto"/>
        <w:ind w:right="51"/>
        <w:jc w:val="center"/>
        <w:rPr>
          <w:rFonts w:ascii="Arial" w:hAnsi="Arial" w:cs="Arial"/>
          <w:b/>
          <w:color w:val="BFBFBF"/>
        </w:rPr>
      </w:pPr>
      <w:r w:rsidRPr="00237E10">
        <w:rPr>
          <w:rFonts w:ascii="Arial" w:hAnsi="Arial" w:cs="Arial"/>
          <w:color w:val="BFBFBF"/>
        </w:rPr>
        <w:t>(… Cargo del Funcionario Competente …)</w:t>
      </w:r>
    </w:p>
    <w:p w14:paraId="690F6A62" w14:textId="77777777" w:rsidR="00750D7E" w:rsidRPr="00237E10" w:rsidRDefault="00750D7E" w:rsidP="00750D7E">
      <w:pPr>
        <w:spacing w:line="360" w:lineRule="auto"/>
        <w:ind w:right="51"/>
        <w:jc w:val="center"/>
        <w:rPr>
          <w:rFonts w:ascii="Arial" w:hAnsi="Arial" w:cs="Arial"/>
        </w:rPr>
      </w:pPr>
      <w:r w:rsidRPr="00237E10">
        <w:rPr>
          <w:rFonts w:ascii="Arial" w:hAnsi="Arial" w:cs="Arial"/>
        </w:rPr>
        <w:t>Funcionario Competente</w:t>
      </w:r>
    </w:p>
    <w:p w14:paraId="0F712512" w14:textId="77777777" w:rsidR="00750D7E" w:rsidRPr="00237E10" w:rsidRDefault="00750D7E" w:rsidP="00750D7E">
      <w:pPr>
        <w:spacing w:line="360" w:lineRule="auto"/>
        <w:ind w:right="51"/>
        <w:jc w:val="center"/>
        <w:rPr>
          <w:rFonts w:ascii="Arial" w:hAnsi="Arial" w:cs="Arial"/>
          <w:lang w:val="es-ES_tradnl"/>
        </w:rPr>
      </w:pPr>
    </w:p>
    <w:p w14:paraId="02A7D37F" w14:textId="77777777" w:rsidR="00750D7E" w:rsidRPr="00237E10" w:rsidRDefault="00750D7E" w:rsidP="00750D7E">
      <w:pPr>
        <w:spacing w:line="360" w:lineRule="auto"/>
        <w:ind w:right="51"/>
        <w:jc w:val="center"/>
        <w:rPr>
          <w:rFonts w:ascii="Arial" w:hAnsi="Arial" w:cs="Arial"/>
          <w:lang w:val="es-ES_tradnl"/>
        </w:rPr>
      </w:pPr>
    </w:p>
    <w:p w14:paraId="7B696C33" w14:textId="77777777" w:rsidR="00750D7E" w:rsidRPr="009C64F1" w:rsidRDefault="00750D7E" w:rsidP="00750D7E">
      <w:pPr>
        <w:spacing w:line="360" w:lineRule="auto"/>
        <w:ind w:right="51"/>
        <w:jc w:val="center"/>
        <w:rPr>
          <w:rFonts w:ascii="Arial" w:hAnsi="Arial" w:cs="Arial"/>
          <w:sz w:val="12"/>
          <w:lang w:val="es-ES_tradnl"/>
        </w:rPr>
      </w:pPr>
    </w:p>
    <w:p w14:paraId="1668E229" w14:textId="77777777" w:rsidR="00750D7E" w:rsidRPr="00237E10" w:rsidRDefault="00750D7E" w:rsidP="00750D7E">
      <w:pPr>
        <w:spacing w:line="360" w:lineRule="auto"/>
        <w:ind w:right="51"/>
        <w:jc w:val="center"/>
        <w:rPr>
          <w:rFonts w:ascii="Arial" w:hAnsi="Arial" w:cs="Arial"/>
          <w:color w:val="BFBFBF"/>
        </w:rPr>
      </w:pPr>
      <w:r w:rsidRPr="00237E10">
        <w:rPr>
          <w:rFonts w:ascii="Arial" w:hAnsi="Arial" w:cs="Arial"/>
          <w:color w:val="BFBFBF"/>
        </w:rPr>
        <w:t>(… Grado, Nombres y Apellidos del Secretario(a), si es que el Despacho decide nombrar uno…)</w:t>
      </w:r>
    </w:p>
    <w:p w14:paraId="614B42C9" w14:textId="64F00E3F" w:rsidR="00750D7E" w:rsidRDefault="00750D7E" w:rsidP="00E4723C">
      <w:pPr>
        <w:spacing w:line="360" w:lineRule="auto"/>
        <w:ind w:right="51"/>
        <w:jc w:val="center"/>
        <w:rPr>
          <w:rFonts w:ascii="Arial" w:hAnsi="Arial" w:cs="Arial"/>
          <w:color w:val="BFBFBF"/>
          <w:sz w:val="16"/>
          <w:szCs w:val="16"/>
        </w:rPr>
      </w:pPr>
      <w:r w:rsidRPr="00237E10">
        <w:rPr>
          <w:rFonts w:ascii="Arial" w:hAnsi="Arial" w:cs="Arial"/>
          <w:color w:val="000000"/>
        </w:rPr>
        <w:t>Secretario</w:t>
      </w:r>
    </w:p>
    <w:p w14:paraId="10FF7ED5" w14:textId="77777777" w:rsidR="00750D7E" w:rsidRDefault="00750D7E" w:rsidP="00750D7E">
      <w:pPr>
        <w:keepNext/>
        <w:keepLines/>
        <w:spacing w:line="360" w:lineRule="auto"/>
        <w:outlineLvl w:val="0"/>
        <w:rPr>
          <w:rFonts w:ascii="Arial" w:hAnsi="Arial" w:cs="Arial"/>
          <w:color w:val="BFBFBF"/>
          <w:sz w:val="16"/>
          <w:szCs w:val="16"/>
        </w:rPr>
      </w:pPr>
    </w:p>
    <w:p w14:paraId="34B16B00" w14:textId="77777777" w:rsidR="00750D7E" w:rsidRPr="00237E10" w:rsidRDefault="00750D7E" w:rsidP="00750D7E">
      <w:pPr>
        <w:keepNext/>
        <w:keepLines/>
        <w:spacing w:line="360" w:lineRule="auto"/>
        <w:outlineLvl w:val="0"/>
        <w:rPr>
          <w:rFonts w:ascii="Arial" w:hAnsi="Arial" w:cs="Arial"/>
          <w:sz w:val="16"/>
          <w:szCs w:val="16"/>
        </w:rPr>
      </w:pPr>
      <w:r w:rsidRPr="00237E10" w:rsidDel="00166B5B">
        <w:rPr>
          <w:rFonts w:ascii="Arial" w:hAnsi="Arial" w:cs="Arial"/>
          <w:color w:val="BFBFBF"/>
          <w:sz w:val="16"/>
          <w:szCs w:val="16"/>
        </w:rPr>
        <w:t xml:space="preserve"> </w:t>
      </w:r>
      <w:r w:rsidRPr="00237E10">
        <w:rPr>
          <w:rFonts w:ascii="Arial" w:hAnsi="Arial" w:cs="Arial"/>
          <w:b/>
          <w:bCs/>
          <w:sz w:val="16"/>
          <w:szCs w:val="16"/>
        </w:rPr>
        <w:t>Proyectó y Elaboró:</w:t>
      </w:r>
    </w:p>
    <w:p w14:paraId="1562ACA1" w14:textId="77777777" w:rsidR="00750D7E" w:rsidRPr="00237E10" w:rsidRDefault="00750D7E" w:rsidP="00750D7E">
      <w:pPr>
        <w:keepNext/>
        <w:keepLines/>
        <w:spacing w:line="360" w:lineRule="auto"/>
        <w:outlineLvl w:val="0"/>
        <w:rPr>
          <w:rFonts w:ascii="Arial" w:hAnsi="Arial" w:cs="Arial"/>
          <w:bCs/>
          <w:color w:val="BFBFBF"/>
          <w:sz w:val="16"/>
          <w:szCs w:val="16"/>
        </w:rPr>
      </w:pPr>
      <w:r w:rsidRPr="00237E10">
        <w:rPr>
          <w:rFonts w:ascii="Arial" w:hAnsi="Arial" w:cs="Arial"/>
          <w:bCs/>
          <w:color w:val="BFBFBF"/>
          <w:sz w:val="16"/>
          <w:szCs w:val="16"/>
        </w:rPr>
        <w:t>(…Grado, Nombres, Apellidos y Cargo del Funcionario que proyectó y elaboró la providencia …)</w:t>
      </w:r>
    </w:p>
    <w:p w14:paraId="058556DC" w14:textId="77777777" w:rsidR="00750D7E" w:rsidRDefault="00750D7E" w:rsidP="00750D7E">
      <w:pPr>
        <w:keepNext/>
        <w:keepLines/>
        <w:spacing w:line="360" w:lineRule="auto"/>
        <w:outlineLvl w:val="0"/>
        <w:rPr>
          <w:rFonts w:ascii="Arial" w:hAnsi="Arial" w:cs="Arial"/>
          <w:b/>
          <w:bCs/>
          <w:sz w:val="16"/>
          <w:szCs w:val="16"/>
        </w:rPr>
      </w:pPr>
    </w:p>
    <w:p w14:paraId="6761FC81" w14:textId="77777777" w:rsidR="00750D7E" w:rsidRPr="00237E10" w:rsidRDefault="00750D7E" w:rsidP="00750D7E">
      <w:pPr>
        <w:keepNext/>
        <w:keepLines/>
        <w:spacing w:line="360" w:lineRule="auto"/>
        <w:outlineLvl w:val="0"/>
        <w:rPr>
          <w:rFonts w:ascii="Arial" w:hAnsi="Arial" w:cs="Arial"/>
          <w:sz w:val="16"/>
          <w:szCs w:val="16"/>
        </w:rPr>
      </w:pPr>
      <w:r w:rsidRPr="00237E10">
        <w:rPr>
          <w:rFonts w:ascii="Arial" w:hAnsi="Arial" w:cs="Arial"/>
          <w:b/>
          <w:bCs/>
          <w:sz w:val="16"/>
          <w:szCs w:val="16"/>
        </w:rPr>
        <w:t>Revisó y Aprobó:</w:t>
      </w:r>
    </w:p>
    <w:p w14:paraId="3520BEC0" w14:textId="77777777" w:rsidR="00750D7E" w:rsidRPr="00237E10" w:rsidRDefault="00750D7E" w:rsidP="00750D7E">
      <w:pPr>
        <w:keepNext/>
        <w:keepLines/>
        <w:spacing w:line="360" w:lineRule="auto"/>
        <w:outlineLvl w:val="0"/>
        <w:rPr>
          <w:rFonts w:ascii="Arial" w:hAnsi="Arial" w:cs="Arial"/>
          <w:bCs/>
          <w:color w:val="BFBFBF"/>
          <w:sz w:val="16"/>
          <w:szCs w:val="16"/>
        </w:rPr>
      </w:pPr>
      <w:r w:rsidRPr="00237E10">
        <w:rPr>
          <w:rFonts w:ascii="Arial" w:hAnsi="Arial" w:cs="Arial"/>
          <w:bCs/>
          <w:color w:val="BFBFBF"/>
          <w:sz w:val="16"/>
          <w:szCs w:val="16"/>
        </w:rPr>
        <w:t>(…Grado, Nombres, Apellidos y Cargo del Funcionario que revisó y aprobó la providencia …)</w:t>
      </w:r>
    </w:p>
    <w:p w14:paraId="44429614" w14:textId="77777777" w:rsidR="00750D7E" w:rsidRDefault="00750D7E" w:rsidP="00750D7E">
      <w:pPr>
        <w:spacing w:line="360" w:lineRule="auto"/>
        <w:ind w:left="567" w:hanging="567"/>
        <w:jc w:val="both"/>
        <w:rPr>
          <w:rFonts w:ascii="Arial" w:hAnsi="Arial" w:cs="Arial"/>
          <w:b/>
          <w:color w:val="BFBFBF"/>
        </w:rPr>
      </w:pPr>
    </w:p>
    <w:p w14:paraId="49845E4C" w14:textId="77777777" w:rsidR="00B634B4" w:rsidRPr="008549E9" w:rsidRDefault="00B634B4" w:rsidP="00750D7E">
      <w:pPr>
        <w:spacing w:line="360" w:lineRule="auto"/>
        <w:ind w:left="567" w:hanging="567"/>
        <w:jc w:val="both"/>
        <w:rPr>
          <w:rFonts w:ascii="Arial" w:hAnsi="Arial" w:cs="Arial"/>
          <w:b/>
          <w:color w:val="BFBFBF"/>
        </w:rPr>
      </w:pPr>
    </w:p>
    <w:p w14:paraId="76226C10" w14:textId="77777777" w:rsidR="00750D7E" w:rsidRPr="008549E9" w:rsidRDefault="00750D7E" w:rsidP="00750D7E">
      <w:pPr>
        <w:ind w:left="567" w:hanging="567"/>
        <w:rPr>
          <w:rFonts w:ascii="Arial" w:hAnsi="Arial" w:cs="Arial"/>
          <w:b/>
          <w:bCs/>
          <w:color w:val="BFBFBF"/>
          <w:sz w:val="22"/>
        </w:rPr>
      </w:pPr>
      <w:r w:rsidRPr="008549E9">
        <w:rPr>
          <w:rFonts w:ascii="Arial" w:hAnsi="Arial" w:cs="Arial"/>
          <w:b/>
          <w:bCs/>
          <w:color w:val="BFBFBF"/>
          <w:sz w:val="22"/>
        </w:rPr>
        <w:t>PARÁMETROS DE PRESENTACIÓN DEL TEXTO:</w:t>
      </w:r>
    </w:p>
    <w:p w14:paraId="21989594" w14:textId="77777777" w:rsidR="00750D7E" w:rsidRPr="008549E9" w:rsidRDefault="00750D7E" w:rsidP="00750D7E">
      <w:pPr>
        <w:ind w:left="567" w:hanging="567"/>
        <w:jc w:val="both"/>
        <w:rPr>
          <w:rFonts w:ascii="Arial" w:hAnsi="Arial" w:cs="Arial"/>
          <w:b/>
          <w:bCs/>
          <w:color w:val="BFBFBF"/>
          <w:sz w:val="22"/>
        </w:rPr>
      </w:pPr>
    </w:p>
    <w:p w14:paraId="75AF1AAA" w14:textId="77777777"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El tamaño de la hoja en que se trabajará el formato será Oficio.</w:t>
      </w:r>
    </w:p>
    <w:p w14:paraId="599EEC09" w14:textId="77777777"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La letra a utilizar en el formato será Arial tamaño 12 para los textos y Arial tamaño 13 para los títulos o acápites.</w:t>
      </w:r>
    </w:p>
    <w:p w14:paraId="40D1EDE9" w14:textId="4B72D2D3"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lastRenderedPageBreak/>
        <w:t xml:space="preserve">Las citas de normas, doctrina y/o jurisprudencia se hará en Time New </w:t>
      </w:r>
      <w:r w:rsidR="00E4723C" w:rsidRPr="008549E9">
        <w:rPr>
          <w:rFonts w:ascii="Arial" w:hAnsi="Arial" w:cs="Arial"/>
          <w:color w:val="BFBFBF"/>
          <w:sz w:val="22"/>
        </w:rPr>
        <w:t>Román</w:t>
      </w:r>
      <w:r w:rsidRPr="008549E9">
        <w:rPr>
          <w:rFonts w:ascii="Arial" w:hAnsi="Arial" w:cs="Arial"/>
          <w:color w:val="BFBFBF"/>
          <w:sz w:val="22"/>
        </w:rPr>
        <w:t xml:space="preserve"> tamaño 12, en cursiva y dentro de paréntesis. Ej: </w:t>
      </w:r>
      <w:r w:rsidRPr="008549E9">
        <w:rPr>
          <w:rFonts w:ascii="Arial" w:hAnsi="Arial" w:cs="Arial"/>
          <w:i/>
          <w:iCs/>
          <w:color w:val="BFBFBF"/>
          <w:sz w:val="22"/>
        </w:rPr>
        <w:t>“(…) XXXXXX (…)”</w:t>
      </w:r>
      <w:r w:rsidRPr="008549E9">
        <w:rPr>
          <w:rFonts w:ascii="Arial" w:hAnsi="Arial" w:cs="Arial"/>
          <w:color w:val="BFBFBF"/>
          <w:sz w:val="22"/>
        </w:rPr>
        <w:t>.</w:t>
      </w:r>
    </w:p>
    <w:p w14:paraId="50A0D8EA" w14:textId="0F0ED6CD"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 xml:space="preserve">Las Notas de Referencias o Pié de Páginas serán en Time New </w:t>
      </w:r>
      <w:r w:rsidR="00E4723C" w:rsidRPr="008549E9">
        <w:rPr>
          <w:rFonts w:ascii="Arial" w:hAnsi="Arial" w:cs="Arial"/>
          <w:color w:val="BFBFBF"/>
          <w:sz w:val="22"/>
        </w:rPr>
        <w:t>Román</w:t>
      </w:r>
      <w:r w:rsidRPr="008549E9">
        <w:rPr>
          <w:rFonts w:ascii="Arial" w:hAnsi="Arial" w:cs="Arial"/>
          <w:color w:val="BFBFBF"/>
          <w:sz w:val="22"/>
        </w:rPr>
        <w:t xml:space="preserve"> tamaño 8, Cursiva.</w:t>
      </w:r>
    </w:p>
    <w:p w14:paraId="45AE579C" w14:textId="77777777"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La letra y tamaño de “Proyectó”, “Elaboró”, “Revisó” y “Aprobó”, será en Arial 8 y negrilla; los datos con los cuales se diligencien estos parámetros, serán en el mismo tipo y tamaño de letra, sin negrilla.</w:t>
      </w:r>
    </w:p>
    <w:p w14:paraId="4C63C3E7" w14:textId="77777777"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Los títulos o acápites de las providencias deberán ir en mayúscula, negrita y subrayado, sin ningún tipo de numeración.</w:t>
      </w:r>
    </w:p>
    <w:p w14:paraId="2A5F52A8" w14:textId="0E80DC63" w:rsidR="00750D7E" w:rsidRPr="008549E9" w:rsidRDefault="00750D7E" w:rsidP="00750D7E">
      <w:pPr>
        <w:numPr>
          <w:ilvl w:val="0"/>
          <w:numId w:val="5"/>
        </w:numPr>
        <w:ind w:left="567" w:hanging="567"/>
        <w:jc w:val="both"/>
        <w:rPr>
          <w:rFonts w:ascii="Arial" w:hAnsi="Arial" w:cs="Arial"/>
          <w:b/>
          <w:bCs/>
          <w:color w:val="BFBFBF"/>
          <w:sz w:val="22"/>
        </w:rPr>
      </w:pPr>
      <w:r w:rsidRPr="008549E9">
        <w:rPr>
          <w:rFonts w:ascii="Arial" w:hAnsi="Arial" w:cs="Arial"/>
          <w:color w:val="BFBFBF"/>
          <w:sz w:val="22"/>
        </w:rPr>
        <w:t xml:space="preserve">Los párrafos que conforman cada uno de los acápites de la providencia, no tendrán sangría, </w:t>
      </w:r>
      <w:r w:rsidR="00E4723C" w:rsidRPr="008549E9">
        <w:rPr>
          <w:rFonts w:ascii="Arial" w:hAnsi="Arial" w:cs="Arial"/>
          <w:color w:val="BFBFBF"/>
          <w:sz w:val="22"/>
        </w:rPr>
        <w:t>iniciarán</w:t>
      </w:r>
      <w:r w:rsidRPr="008549E9">
        <w:rPr>
          <w:rFonts w:ascii="Arial" w:hAnsi="Arial" w:cs="Arial"/>
          <w:color w:val="BFBFBF"/>
          <w:sz w:val="22"/>
        </w:rPr>
        <w:t xml:space="preserve"> desde la margen inicial estipulada para el formato (4cm).</w:t>
      </w:r>
      <w:r w:rsidRPr="008549E9">
        <w:rPr>
          <w:rFonts w:ascii="Arial" w:hAnsi="Arial" w:cs="Arial"/>
          <w:b/>
          <w:bCs/>
          <w:color w:val="BFBFBF"/>
          <w:sz w:val="22"/>
        </w:rPr>
        <w:t xml:space="preserve"> </w:t>
      </w:r>
    </w:p>
    <w:p w14:paraId="25F2B36D" w14:textId="77777777"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6ADA1F82" w14:textId="5C6E8919"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 xml:space="preserve">Los márgenes del documento serán: Superior: 3.0cms., Inferior: 3.0cms., Derecho: 3.0cms. </w:t>
      </w:r>
      <w:r w:rsidR="00B647CE" w:rsidRPr="008549E9">
        <w:rPr>
          <w:rFonts w:ascii="Arial" w:hAnsi="Arial" w:cs="Arial"/>
          <w:color w:val="BFBFBF"/>
          <w:sz w:val="22"/>
        </w:rPr>
        <w:t>he</w:t>
      </w:r>
      <w:r w:rsidRPr="008549E9">
        <w:rPr>
          <w:rFonts w:ascii="Arial" w:hAnsi="Arial" w:cs="Arial"/>
          <w:color w:val="BFBFBF"/>
          <w:sz w:val="22"/>
        </w:rPr>
        <w:t xml:space="preserve"> Izquierdo: 4.0cms.</w:t>
      </w:r>
    </w:p>
    <w:p w14:paraId="4CF79FEF" w14:textId="77777777"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Los acápites podrán ser utilizados en género femenino o masculino y/o singular o plural, según corresponda al hecho que se investiga.</w:t>
      </w:r>
    </w:p>
    <w:p w14:paraId="52BF6845" w14:textId="77777777"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Se podrá resaltar con negrilla, mayúscula sostenida, subrayado o cursiva, los datos de relevancia que cada funcionario estime pertinente.</w:t>
      </w:r>
    </w:p>
    <w:p w14:paraId="140FEDBE" w14:textId="3A6A39EC" w:rsidR="00750D7E" w:rsidRPr="008549E9" w:rsidRDefault="00750D7E" w:rsidP="00750D7E">
      <w:pPr>
        <w:numPr>
          <w:ilvl w:val="0"/>
          <w:numId w:val="5"/>
        </w:numPr>
        <w:ind w:left="567" w:hanging="567"/>
        <w:jc w:val="both"/>
        <w:rPr>
          <w:rFonts w:ascii="Arial" w:hAnsi="Arial" w:cs="Arial"/>
          <w:color w:val="BFBFBF"/>
          <w:sz w:val="22"/>
        </w:rPr>
      </w:pPr>
      <w:r w:rsidRPr="008549E9">
        <w:rPr>
          <w:rFonts w:ascii="Arial" w:hAnsi="Arial" w:cs="Arial"/>
          <w:color w:val="BFBFBF"/>
          <w:sz w:val="22"/>
        </w:rPr>
        <w:t xml:space="preserve">Los numerales que conforman el acápite denominado </w:t>
      </w:r>
      <w:r w:rsidRPr="008549E9">
        <w:rPr>
          <w:rFonts w:ascii="Arial" w:hAnsi="Arial" w:cs="Arial"/>
          <w:b/>
          <w:color w:val="BFBFBF"/>
          <w:sz w:val="22"/>
        </w:rPr>
        <w:t>“RESUELVE”</w:t>
      </w:r>
      <w:r w:rsidRPr="008549E9">
        <w:rPr>
          <w:rFonts w:ascii="Arial" w:hAnsi="Arial" w:cs="Arial"/>
          <w:color w:val="BFBFBF"/>
          <w:sz w:val="22"/>
        </w:rPr>
        <w:t xml:space="preserve">, deberán identificarse en letras, negrita y mayúscula, seguido de los dos puntos (:). Ej.: </w:t>
      </w:r>
      <w:r w:rsidR="00475CAD" w:rsidRPr="008549E9">
        <w:rPr>
          <w:rFonts w:ascii="Arial" w:hAnsi="Arial" w:cs="Arial"/>
          <w:color w:val="BFBFBF"/>
          <w:sz w:val="22"/>
        </w:rPr>
        <w:t>PRIMERO:</w:t>
      </w:r>
      <w:r w:rsidRPr="008549E9">
        <w:rPr>
          <w:rFonts w:ascii="Arial" w:hAnsi="Arial" w:cs="Arial"/>
          <w:color w:val="BFBFBF"/>
          <w:sz w:val="22"/>
        </w:rPr>
        <w:t xml:space="preserve"> Lo ordenado en cada numeral deberá tener sangría a 3.0cm., que iniciará desde la margen inicial estipulada para el formato.</w:t>
      </w:r>
    </w:p>
    <w:p w14:paraId="42206139" w14:textId="77777777" w:rsidR="00750D7E" w:rsidRPr="00A231B9" w:rsidRDefault="00750D7E" w:rsidP="00750D7E">
      <w:pPr>
        <w:numPr>
          <w:ilvl w:val="0"/>
          <w:numId w:val="5"/>
        </w:numPr>
        <w:spacing w:line="360" w:lineRule="auto"/>
        <w:ind w:left="284" w:hanging="567"/>
        <w:jc w:val="both"/>
        <w:rPr>
          <w:rFonts w:ascii="Arial" w:hAnsi="Arial" w:cs="Arial"/>
          <w:color w:val="BFBFBF"/>
        </w:rPr>
      </w:pPr>
      <w:r w:rsidRPr="00A231B9">
        <w:rPr>
          <w:rFonts w:ascii="Arial" w:hAnsi="Arial" w:cs="Arial"/>
          <w:color w:val="BFBFBF"/>
          <w:sz w:val="22"/>
        </w:rPr>
        <w:t>Los formatos no podrán tener encabezado distinto al correspondiente al Sistema Integrado de Gestión de Calidad.</w:t>
      </w:r>
    </w:p>
    <w:p w14:paraId="6F3EA152" w14:textId="77777777" w:rsidR="007D0F6F" w:rsidRPr="00020AF3" w:rsidRDefault="007D0F6F">
      <w:pPr>
        <w:rPr>
          <w:rFonts w:ascii="Arial" w:hAnsi="Arial" w:cs="Arial"/>
        </w:rPr>
      </w:pPr>
    </w:p>
    <w:sectPr w:rsidR="007D0F6F" w:rsidRPr="00020AF3" w:rsidSect="007A796D">
      <w:headerReference w:type="default" r:id="rId8"/>
      <w:footerReference w:type="default" r:id="rId9"/>
      <w:headerReference w:type="first" r:id="rId10"/>
      <w:pgSz w:w="12242" w:h="18722" w:code="119"/>
      <w:pgMar w:top="1701" w:right="1134" w:bottom="1701" w:left="2268"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A7FA6" w14:textId="77777777" w:rsidR="00491D07" w:rsidRDefault="00491D07" w:rsidP="00785C54">
      <w:r>
        <w:separator/>
      </w:r>
    </w:p>
  </w:endnote>
  <w:endnote w:type="continuationSeparator" w:id="0">
    <w:p w14:paraId="50737A9A" w14:textId="77777777" w:rsidR="00491D07" w:rsidRDefault="00491D07" w:rsidP="0078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jaVu Sans">
    <w:altName w:val="Times New Roman"/>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9071" w14:textId="73E231DB" w:rsidR="007A796D" w:rsidRPr="006D7FB3" w:rsidRDefault="00CF1103" w:rsidP="007A796D">
    <w:pPr>
      <w:tabs>
        <w:tab w:val="center" w:pos="4252"/>
        <w:tab w:val="right" w:pos="8504"/>
      </w:tabs>
      <w:jc w:val="center"/>
      <w:rPr>
        <w:rFonts w:ascii="Arial" w:eastAsia="Calibri" w:hAnsi="Arial" w:cs="Arial"/>
        <w:sz w:val="16"/>
        <w:szCs w:val="16"/>
      </w:rPr>
    </w:pPr>
    <w:r>
      <w:rPr>
        <w:noProof/>
        <w:lang w:val="es-MX" w:eastAsia="es-MX"/>
      </w:rPr>
      <w:drawing>
        <wp:anchor distT="0" distB="0" distL="114300" distR="114300" simplePos="0" relativeHeight="251670528" behindDoc="0" locked="0" layoutInCell="1" allowOverlap="1" wp14:anchorId="0495C046" wp14:editId="76E37C7B">
          <wp:simplePos x="0" y="0"/>
          <wp:positionH relativeFrom="rightMargin">
            <wp:posOffset>-739482</wp:posOffset>
          </wp:positionH>
          <wp:positionV relativeFrom="page">
            <wp:posOffset>11119279</wp:posOffset>
          </wp:positionV>
          <wp:extent cx="708660" cy="395605"/>
          <wp:effectExtent l="0" t="0" r="0" b="444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bookmarkStart w:id="3" w:name="_Hlk211866398"/>
    <w:bookmarkStart w:id="4" w:name="_Hlk210293931"/>
    <w:r w:rsidR="007A796D" w:rsidRPr="007A796D">
      <w:rPr>
        <w:rFonts w:ascii="Arial" w:eastAsia="Calibri" w:hAnsi="Arial" w:cs="Arial"/>
        <w:sz w:val="16"/>
        <w:szCs w:val="16"/>
      </w:rPr>
      <w:t xml:space="preserve"> </w:t>
    </w:r>
    <w:r w:rsidR="007A796D" w:rsidRPr="006D7FB3">
      <w:rPr>
        <w:rFonts w:ascii="Arial" w:eastAsia="Calibri" w:hAnsi="Arial" w:cs="Arial"/>
        <w:sz w:val="16"/>
        <w:szCs w:val="16"/>
      </w:rPr>
      <w:t>Este documento es propiedad del EJÉRCITO NACIONAL</w:t>
    </w:r>
  </w:p>
  <w:p w14:paraId="664F2044" w14:textId="0DD307E2" w:rsidR="00CF1103" w:rsidRDefault="007A796D" w:rsidP="007A796D">
    <w:pPr>
      <w:tabs>
        <w:tab w:val="center" w:pos="4252"/>
        <w:tab w:val="right" w:pos="8504"/>
      </w:tabs>
      <w:jc w:val="center"/>
    </w:pPr>
    <w:r w:rsidRPr="006D7FB3">
      <w:rPr>
        <w:rFonts w:ascii="Arial" w:eastAsia="Calibri" w:hAnsi="Arial" w:cs="Arial"/>
        <w:sz w:val="16"/>
        <w:szCs w:val="16"/>
      </w:rPr>
      <w:t>No está autorizada su reproducción total o parcial</w:t>
    </w:r>
    <w:bookmarkEnd w:id="3"/>
    <w:bookmarkEnd w:id="4"/>
  </w:p>
  <w:p w14:paraId="1B7B43C3" w14:textId="4A6A2E8B" w:rsidR="00E4723C" w:rsidRPr="00CF1103" w:rsidRDefault="00E4723C" w:rsidP="00CF11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007F6" w14:textId="77777777" w:rsidR="00491D07" w:rsidRDefault="00491D07" w:rsidP="00785C54">
      <w:r>
        <w:separator/>
      </w:r>
    </w:p>
  </w:footnote>
  <w:footnote w:type="continuationSeparator" w:id="0">
    <w:p w14:paraId="385D1C48" w14:textId="77777777" w:rsidR="00491D07" w:rsidRDefault="00491D07" w:rsidP="00785C54">
      <w:r>
        <w:continuationSeparator/>
      </w:r>
    </w:p>
  </w:footnote>
  <w:footnote w:id="1">
    <w:p w14:paraId="1CED524B" w14:textId="77777777" w:rsidR="00314484" w:rsidRPr="000C355D" w:rsidRDefault="00314484" w:rsidP="005D116E">
      <w:pPr>
        <w:pStyle w:val="Sinespaciado"/>
        <w:ind w:left="-426"/>
        <w:jc w:val="both"/>
        <w:rPr>
          <w:i/>
          <w:color w:val="000000" w:themeColor="text1"/>
          <w:sz w:val="16"/>
          <w:szCs w:val="16"/>
        </w:rPr>
      </w:pPr>
      <w:r w:rsidRPr="000C355D">
        <w:rPr>
          <w:rStyle w:val="Refdenotaalpie"/>
          <w:i/>
          <w:color w:val="000000" w:themeColor="text1"/>
          <w:sz w:val="16"/>
          <w:szCs w:val="16"/>
        </w:rPr>
        <w:footnoteRef/>
      </w:r>
      <w:r w:rsidRPr="000C355D">
        <w:rPr>
          <w:i/>
          <w:color w:val="000000" w:themeColor="text1"/>
          <w:sz w:val="16"/>
          <w:szCs w:val="16"/>
        </w:rPr>
        <w:t xml:space="preserve"> </w:t>
      </w:r>
      <w:r w:rsidR="00A57102" w:rsidRPr="000C355D">
        <w:rPr>
          <w:bCs/>
          <w:i/>
          <w:color w:val="000000" w:themeColor="text1"/>
          <w:sz w:val="16"/>
          <w:szCs w:val="16"/>
        </w:rPr>
        <w:t>Ley 1476 de 2011</w:t>
      </w:r>
      <w:r w:rsidRPr="000C355D">
        <w:rPr>
          <w:bCs/>
          <w:i/>
          <w:color w:val="000000" w:themeColor="text1"/>
          <w:sz w:val="16"/>
          <w:szCs w:val="16"/>
        </w:rPr>
        <w:t>Artículo 41.</w:t>
      </w:r>
      <w:r w:rsidR="00A57102" w:rsidRPr="000C355D">
        <w:rPr>
          <w:bCs/>
          <w:i/>
          <w:color w:val="000000" w:themeColor="text1"/>
          <w:sz w:val="16"/>
          <w:szCs w:val="16"/>
        </w:rPr>
        <w:t xml:space="preserve"> </w:t>
      </w:r>
      <w:r w:rsidRPr="000C355D">
        <w:rPr>
          <w:bCs/>
          <w:i/>
          <w:color w:val="000000" w:themeColor="text1"/>
          <w:sz w:val="16"/>
          <w:szCs w:val="16"/>
        </w:rPr>
        <w:t>UNIDAD PROCESAL</w:t>
      </w:r>
      <w:r w:rsidRPr="000C355D">
        <w:rPr>
          <w:b/>
          <w:bCs/>
          <w:i/>
          <w:color w:val="000000" w:themeColor="text1"/>
          <w:sz w:val="16"/>
          <w:szCs w:val="16"/>
        </w:rPr>
        <w:t>.</w:t>
      </w:r>
      <w:r w:rsidRPr="000C355D">
        <w:rPr>
          <w:i/>
          <w:color w:val="000000" w:themeColor="text1"/>
          <w:sz w:val="16"/>
          <w:szCs w:val="16"/>
        </w:rPr>
        <w:t> Por cada hecho generador de responsabilidad administrativa se adelantará una sola actuación procesal, cualquiera sea el número de implicados; si se estuviera adelantando más de una actuación por el mismo asunto, se dispondrá mediante auto de trámite la agregación de las diligencias a aquellas que se encuentren más adelantadas</w:t>
      </w:r>
    </w:p>
    <w:p w14:paraId="577AC86F" w14:textId="77777777" w:rsidR="00314484" w:rsidRPr="00E4723C" w:rsidRDefault="00314484" w:rsidP="00E4723C">
      <w:pPr>
        <w:pStyle w:val="Textonotapie"/>
        <w:jc w:val="both"/>
        <w:rPr>
          <w:sz w:val="16"/>
          <w:szCs w:val="16"/>
        </w:rPr>
      </w:pPr>
    </w:p>
  </w:footnote>
  <w:footnote w:id="2">
    <w:p w14:paraId="1C682537" w14:textId="77777777" w:rsidR="00CE5AB4" w:rsidRPr="000C355D" w:rsidRDefault="00CE5AB4" w:rsidP="00CF1103">
      <w:pPr>
        <w:pStyle w:val="Textonotapie"/>
        <w:ind w:left="-567"/>
        <w:jc w:val="both"/>
        <w:rPr>
          <w:i/>
          <w:sz w:val="16"/>
          <w:szCs w:val="16"/>
          <w:lang w:val="es-ES"/>
        </w:rPr>
      </w:pPr>
      <w:r w:rsidRPr="000C355D">
        <w:rPr>
          <w:rStyle w:val="Refdenotaalpie"/>
          <w:i/>
          <w:sz w:val="16"/>
          <w:szCs w:val="16"/>
        </w:rPr>
        <w:footnoteRef/>
      </w:r>
      <w:r w:rsidRPr="000C355D">
        <w:rPr>
          <w:i/>
          <w:sz w:val="16"/>
          <w:szCs w:val="16"/>
        </w:rPr>
        <w:t xml:space="preserve"> </w:t>
      </w:r>
      <w:r w:rsidR="00A57102" w:rsidRPr="000C355D">
        <w:rPr>
          <w:bCs/>
          <w:i/>
          <w:color w:val="000000" w:themeColor="text1"/>
          <w:sz w:val="16"/>
          <w:szCs w:val="16"/>
        </w:rPr>
        <w:t xml:space="preserve">Ley 1476 de 2011 </w:t>
      </w:r>
      <w:r w:rsidR="00A57102" w:rsidRPr="000C355D">
        <w:rPr>
          <w:i/>
          <w:sz w:val="16"/>
          <w:szCs w:val="16"/>
          <w:lang w:val="es-ES"/>
        </w:rPr>
        <w:t>Artículo 38.</w:t>
      </w:r>
    </w:p>
    <w:p w14:paraId="62686F1E" w14:textId="77777777" w:rsidR="00A57102" w:rsidRPr="000C355D" w:rsidRDefault="00A57102" w:rsidP="00CF1103">
      <w:pPr>
        <w:pStyle w:val="Textonotapie"/>
        <w:ind w:left="-567"/>
        <w:jc w:val="both"/>
        <w:rPr>
          <w:i/>
          <w:sz w:val="16"/>
          <w:szCs w:val="16"/>
          <w:lang w:val="es-ES"/>
        </w:rPr>
      </w:pPr>
    </w:p>
  </w:footnote>
  <w:footnote w:id="3">
    <w:p w14:paraId="5B7BBE51" w14:textId="59C8B36D" w:rsidR="00EC507B" w:rsidRPr="000C355D" w:rsidRDefault="00EC507B" w:rsidP="00CF1103">
      <w:pPr>
        <w:pStyle w:val="NormalWeb"/>
        <w:spacing w:before="0" w:beforeAutospacing="0" w:after="0" w:afterAutospacing="0"/>
        <w:ind w:left="-567"/>
        <w:jc w:val="both"/>
        <w:rPr>
          <w:i/>
          <w:color w:val="000000" w:themeColor="text1"/>
          <w:sz w:val="16"/>
          <w:szCs w:val="16"/>
        </w:rPr>
      </w:pPr>
      <w:r w:rsidRPr="000C355D">
        <w:rPr>
          <w:rStyle w:val="Refdenotaalpie"/>
          <w:i/>
          <w:color w:val="000000" w:themeColor="text1"/>
          <w:sz w:val="16"/>
          <w:szCs w:val="16"/>
        </w:rPr>
        <w:footnoteRef/>
      </w:r>
      <w:r w:rsidRPr="000C355D">
        <w:rPr>
          <w:i/>
          <w:color w:val="000000" w:themeColor="text1"/>
          <w:sz w:val="16"/>
          <w:szCs w:val="16"/>
        </w:rPr>
        <w:t xml:space="preserve"> </w:t>
      </w:r>
      <w:bookmarkStart w:id="1" w:name="29"/>
      <w:r w:rsidR="00A57102" w:rsidRPr="000C355D">
        <w:rPr>
          <w:bCs/>
          <w:i/>
          <w:color w:val="000000" w:themeColor="text1"/>
          <w:sz w:val="16"/>
          <w:szCs w:val="16"/>
        </w:rPr>
        <w:t>Constitución Política</w:t>
      </w:r>
      <w:r w:rsidR="00A57102" w:rsidRPr="000C355D">
        <w:rPr>
          <w:i/>
          <w:color w:val="000000" w:themeColor="text1"/>
          <w:sz w:val="16"/>
          <w:szCs w:val="16"/>
        </w:rPr>
        <w:t xml:space="preserve">. </w:t>
      </w:r>
      <w:r w:rsidRPr="000C355D">
        <w:rPr>
          <w:i/>
          <w:color w:val="000000" w:themeColor="text1"/>
          <w:sz w:val="16"/>
          <w:szCs w:val="16"/>
        </w:rPr>
        <w:t>A</w:t>
      </w:r>
      <w:r w:rsidRPr="000C355D">
        <w:rPr>
          <w:bCs/>
          <w:i/>
          <w:color w:val="000000" w:themeColor="text1"/>
          <w:sz w:val="16"/>
          <w:szCs w:val="16"/>
        </w:rPr>
        <w:t>rtículo 29</w:t>
      </w:r>
      <w:bookmarkEnd w:id="1"/>
      <w:r w:rsidR="00A57102" w:rsidRPr="000C355D">
        <w:rPr>
          <w:bCs/>
          <w:i/>
          <w:color w:val="000000" w:themeColor="text1"/>
          <w:sz w:val="16"/>
          <w:szCs w:val="16"/>
        </w:rPr>
        <w:t xml:space="preserve"> </w:t>
      </w:r>
      <w:r w:rsidRPr="000C355D">
        <w:rPr>
          <w:i/>
          <w:color w:val="000000" w:themeColor="text1"/>
          <w:sz w:val="16"/>
          <w:szCs w:val="16"/>
        </w:rPr>
        <w:t>El debido proceso se aplicará a toda clase de actuaciones judiciales y administrativas.</w:t>
      </w:r>
    </w:p>
    <w:p w14:paraId="35412343" w14:textId="77777777" w:rsidR="00EC507B" w:rsidRPr="000C355D" w:rsidRDefault="00EC507B" w:rsidP="00CF1103">
      <w:pPr>
        <w:ind w:left="-567"/>
        <w:jc w:val="both"/>
        <w:rPr>
          <w:i/>
          <w:color w:val="000000" w:themeColor="text1"/>
          <w:sz w:val="16"/>
          <w:szCs w:val="16"/>
        </w:rPr>
      </w:pPr>
      <w:r w:rsidRPr="000C355D">
        <w:rPr>
          <w:i/>
          <w:color w:val="000000" w:themeColor="text1"/>
          <w:sz w:val="16"/>
          <w:szCs w:val="16"/>
        </w:rPr>
        <w:t>Nadie podrá ser juzgado sino conforme a leyes preexistentes al acto que se le imputa, ante juez o tribunal competente y con observancia de la plenitud de las formas propias de cada juicio.</w:t>
      </w:r>
    </w:p>
    <w:p w14:paraId="1EF28228" w14:textId="77777777" w:rsidR="00A57102" w:rsidRPr="000C355D" w:rsidRDefault="00A57102" w:rsidP="00CF1103">
      <w:pPr>
        <w:ind w:left="-567"/>
        <w:jc w:val="both"/>
        <w:rPr>
          <w:i/>
          <w:color w:val="000000" w:themeColor="text1"/>
          <w:sz w:val="16"/>
          <w:szCs w:val="16"/>
        </w:rPr>
      </w:pPr>
    </w:p>
    <w:p w14:paraId="5877F094" w14:textId="77777777" w:rsidR="00EC507B" w:rsidRPr="000C355D" w:rsidRDefault="00EC507B" w:rsidP="00CF1103">
      <w:pPr>
        <w:ind w:left="-567"/>
        <w:jc w:val="both"/>
        <w:rPr>
          <w:i/>
          <w:color w:val="000000" w:themeColor="text1"/>
          <w:sz w:val="16"/>
          <w:szCs w:val="16"/>
        </w:rPr>
      </w:pPr>
      <w:r w:rsidRPr="000C355D">
        <w:rPr>
          <w:i/>
          <w:color w:val="000000" w:themeColor="text1"/>
          <w:sz w:val="16"/>
          <w:szCs w:val="16"/>
        </w:rPr>
        <w:t>En materia penal, la ley permisiva o favorable, aun cuando sea posterior, se aplicará de preferencia a la restrictiva o desfavorable.</w:t>
      </w:r>
    </w:p>
    <w:p w14:paraId="0C553283" w14:textId="77777777" w:rsidR="00EC507B" w:rsidRPr="000C355D" w:rsidRDefault="00EC507B" w:rsidP="00CF1103">
      <w:pPr>
        <w:ind w:left="-567"/>
        <w:jc w:val="both"/>
        <w:rPr>
          <w:i/>
          <w:color w:val="000000" w:themeColor="text1"/>
          <w:sz w:val="16"/>
          <w:szCs w:val="16"/>
        </w:rPr>
      </w:pPr>
      <w:r w:rsidRPr="000C355D">
        <w:rPr>
          <w:i/>
          <w:color w:val="000000" w:themeColor="text1"/>
          <w:sz w:val="16"/>
          <w:szCs w:val="16"/>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14:paraId="3B7F8FC6" w14:textId="77777777" w:rsidR="00A57102" w:rsidRPr="000C355D" w:rsidRDefault="00A57102" w:rsidP="00CF1103">
      <w:pPr>
        <w:ind w:left="-567"/>
        <w:jc w:val="both"/>
        <w:rPr>
          <w:i/>
          <w:color w:val="000000" w:themeColor="text1"/>
          <w:sz w:val="16"/>
          <w:szCs w:val="16"/>
        </w:rPr>
      </w:pPr>
    </w:p>
    <w:p w14:paraId="27BB8402" w14:textId="77777777" w:rsidR="00EC507B" w:rsidRPr="000C355D" w:rsidRDefault="00EC507B" w:rsidP="00CF1103">
      <w:pPr>
        <w:ind w:left="-567"/>
        <w:jc w:val="both"/>
        <w:rPr>
          <w:i/>
          <w:color w:val="000000" w:themeColor="text1"/>
          <w:sz w:val="16"/>
          <w:szCs w:val="16"/>
        </w:rPr>
      </w:pPr>
      <w:r w:rsidRPr="000C355D">
        <w:rPr>
          <w:i/>
          <w:color w:val="000000" w:themeColor="text1"/>
          <w:sz w:val="16"/>
          <w:szCs w:val="16"/>
        </w:rPr>
        <w:t>Es nula, de pleno derecho, la prueba obtenida con violación del debido proceso.</w:t>
      </w:r>
    </w:p>
    <w:p w14:paraId="5FC41BD6" w14:textId="77777777" w:rsidR="00A57102" w:rsidRPr="000C355D" w:rsidRDefault="00A57102" w:rsidP="00CF1103">
      <w:pPr>
        <w:ind w:left="-567"/>
        <w:jc w:val="both"/>
        <w:rPr>
          <w:i/>
          <w:color w:val="000000" w:themeColor="text1"/>
          <w:sz w:val="16"/>
          <w:szCs w:val="16"/>
        </w:rPr>
      </w:pPr>
    </w:p>
    <w:p w14:paraId="016CDC27" w14:textId="77777777" w:rsidR="00EC507B" w:rsidRPr="000C355D" w:rsidRDefault="00A57102" w:rsidP="00CF1103">
      <w:pPr>
        <w:ind w:left="-567"/>
        <w:jc w:val="both"/>
        <w:rPr>
          <w:i/>
          <w:color w:val="000000" w:themeColor="text1"/>
          <w:sz w:val="16"/>
          <w:szCs w:val="16"/>
        </w:rPr>
      </w:pPr>
      <w:r w:rsidRPr="000C355D">
        <w:rPr>
          <w:bCs/>
          <w:i/>
          <w:color w:val="000000" w:themeColor="text1"/>
          <w:sz w:val="16"/>
          <w:szCs w:val="16"/>
        </w:rPr>
        <w:t xml:space="preserve">Ley 1476 de 2011 </w:t>
      </w:r>
      <w:r w:rsidR="00EC507B" w:rsidRPr="000C355D">
        <w:rPr>
          <w:bCs/>
          <w:i/>
          <w:color w:val="000000" w:themeColor="text1"/>
          <w:sz w:val="16"/>
          <w:szCs w:val="16"/>
        </w:rPr>
        <w:t xml:space="preserve">Artículo </w:t>
      </w:r>
      <w:r w:rsidR="004C290A" w:rsidRPr="000C355D">
        <w:rPr>
          <w:bCs/>
          <w:i/>
          <w:color w:val="000000" w:themeColor="text1"/>
          <w:sz w:val="16"/>
          <w:szCs w:val="16"/>
        </w:rPr>
        <w:t>5</w:t>
      </w:r>
      <w:r w:rsidR="00EC507B" w:rsidRPr="000C355D">
        <w:rPr>
          <w:bCs/>
          <w:i/>
          <w:color w:val="000000" w:themeColor="text1"/>
          <w:sz w:val="16"/>
          <w:szCs w:val="16"/>
        </w:rPr>
        <w:t>.</w:t>
      </w:r>
      <w:r w:rsidR="004C290A" w:rsidRPr="000C355D">
        <w:rPr>
          <w:bCs/>
          <w:i/>
          <w:color w:val="000000" w:themeColor="text1"/>
          <w:sz w:val="16"/>
          <w:szCs w:val="16"/>
        </w:rPr>
        <w:t xml:space="preserve"> </w:t>
      </w:r>
      <w:r w:rsidR="00EC507B" w:rsidRPr="000C355D">
        <w:rPr>
          <w:bCs/>
          <w:i/>
          <w:color w:val="000000" w:themeColor="text1"/>
          <w:sz w:val="16"/>
          <w:szCs w:val="16"/>
        </w:rPr>
        <w:t>DEBIDO PROCESO.</w:t>
      </w:r>
      <w:r w:rsidR="00EC507B" w:rsidRPr="000C355D">
        <w:rPr>
          <w:i/>
          <w:color w:val="000000" w:themeColor="text1"/>
          <w:sz w:val="16"/>
          <w:szCs w:val="16"/>
        </w:rPr>
        <w:t> El destinatario de la actuación administrativa será procesado conforme a las leyes sustantivas y procesales preexistentes al acto que se le atribuya, ante funcionario competente previamente establecido y observando la plenitud de las formas del procedimiento regulado en la Constitución Política y en esta ley.</w:t>
      </w:r>
    </w:p>
    <w:p w14:paraId="48467DDD" w14:textId="77777777" w:rsidR="00A57102" w:rsidRPr="000C355D" w:rsidRDefault="00A57102" w:rsidP="00CF1103">
      <w:pPr>
        <w:ind w:left="-567"/>
        <w:jc w:val="both"/>
        <w:rPr>
          <w:i/>
          <w:color w:val="000000" w:themeColor="text1"/>
          <w:sz w:val="16"/>
          <w:szCs w:val="16"/>
        </w:rPr>
      </w:pPr>
    </w:p>
  </w:footnote>
  <w:footnote w:id="4">
    <w:p w14:paraId="53575BE1" w14:textId="0D546EA2" w:rsidR="004C290A" w:rsidRPr="000C355D" w:rsidRDefault="004C290A" w:rsidP="00CF1103">
      <w:pPr>
        <w:pStyle w:val="Textonotapie"/>
        <w:ind w:left="-567"/>
        <w:jc w:val="both"/>
        <w:rPr>
          <w:i/>
          <w:color w:val="000000" w:themeColor="text1"/>
          <w:sz w:val="16"/>
          <w:szCs w:val="16"/>
        </w:rPr>
      </w:pPr>
      <w:r w:rsidRPr="000C355D">
        <w:rPr>
          <w:rStyle w:val="Refdenotaalpie"/>
          <w:i/>
          <w:color w:val="000000" w:themeColor="text1"/>
          <w:sz w:val="16"/>
          <w:szCs w:val="16"/>
        </w:rPr>
        <w:footnoteRef/>
      </w:r>
      <w:r w:rsidRPr="000C355D">
        <w:rPr>
          <w:i/>
          <w:color w:val="000000" w:themeColor="text1"/>
          <w:sz w:val="16"/>
          <w:szCs w:val="16"/>
        </w:rPr>
        <w:t xml:space="preserve"> </w:t>
      </w:r>
      <w:r w:rsidR="00A57102" w:rsidRPr="000C355D">
        <w:rPr>
          <w:bCs/>
          <w:i/>
          <w:color w:val="000000" w:themeColor="text1"/>
          <w:sz w:val="16"/>
          <w:szCs w:val="16"/>
        </w:rPr>
        <w:t xml:space="preserve">Ley 1476 de 2011 Artículo 41 </w:t>
      </w:r>
      <w:r w:rsidRPr="000C355D">
        <w:rPr>
          <w:bCs/>
          <w:i/>
          <w:color w:val="000000" w:themeColor="text1"/>
          <w:sz w:val="16"/>
          <w:szCs w:val="16"/>
        </w:rPr>
        <w:t>UNIDAD PROCESAL.</w:t>
      </w:r>
      <w:r w:rsidRPr="000C355D">
        <w:rPr>
          <w:i/>
          <w:color w:val="000000" w:themeColor="text1"/>
          <w:sz w:val="16"/>
          <w:szCs w:val="16"/>
        </w:rPr>
        <w:t> Por cada hecho generador de responsabilidad administrativa se adelantará una sola actuación procesal, cualquiera sea el número de implicados; si se estuviera adelantando más de una actuación por el mismo asunto, se dispondrá mediante auto de trámite la agregación de las diligencias a aquellas que se encuentren más adelantadas.</w:t>
      </w:r>
    </w:p>
    <w:p w14:paraId="7B24E72F" w14:textId="77777777" w:rsidR="000C355D" w:rsidRPr="00E4723C" w:rsidRDefault="000C355D" w:rsidP="00CF1103">
      <w:pPr>
        <w:pStyle w:val="Textonotapie"/>
        <w:ind w:left="-567"/>
        <w:jc w:val="both"/>
        <w:rPr>
          <w:sz w:val="16"/>
          <w:szCs w:val="16"/>
        </w:rPr>
      </w:pPr>
    </w:p>
  </w:footnote>
  <w:footnote w:id="5">
    <w:p w14:paraId="6B226058" w14:textId="77777777" w:rsidR="000C355D" w:rsidRPr="00E4723C" w:rsidRDefault="000C355D" w:rsidP="00CF1103">
      <w:pPr>
        <w:pStyle w:val="Textonotapie"/>
        <w:ind w:left="-567"/>
        <w:jc w:val="both"/>
        <w:rPr>
          <w:i/>
          <w:sz w:val="16"/>
          <w:szCs w:val="16"/>
        </w:rPr>
      </w:pPr>
      <w:r w:rsidRPr="00E4723C">
        <w:rPr>
          <w:rStyle w:val="Refdenotaalpie"/>
          <w:i/>
          <w:sz w:val="16"/>
          <w:szCs w:val="16"/>
        </w:rPr>
        <w:footnoteRef/>
      </w:r>
      <w:r w:rsidRPr="00E4723C">
        <w:rPr>
          <w:i/>
          <w:sz w:val="16"/>
          <w:szCs w:val="16"/>
        </w:rPr>
        <w:t xml:space="preserve"> </w:t>
      </w:r>
      <w:r w:rsidRPr="00E4723C">
        <w:rPr>
          <w:b/>
          <w:i/>
          <w:sz w:val="16"/>
          <w:szCs w:val="16"/>
        </w:rPr>
        <w:t>ARTÍCULO 10. INTEGRACIÓN NORMATIVA</w:t>
      </w:r>
      <w:r w:rsidRPr="00E4723C">
        <w:rPr>
          <w:i/>
          <w:sz w:val="16"/>
          <w:szCs w:val="16"/>
        </w:rPr>
        <w:t>. En la aplicación de la presente ley prevalecerán los principios y normas rectoras contenidos en esta ley y en la Constitución Política. En lo no previsto, se aplicarán en su orden las disposiciones del Código Contencioso Administrativo, el Código de Procedimiento Civil y el Código Penal Militar, en cuanto sean compatibles con la naturaleza de los informativos administrativos.</w:t>
      </w:r>
    </w:p>
    <w:p w14:paraId="20D70CF4" w14:textId="77777777" w:rsidR="000C355D" w:rsidRPr="000C355D" w:rsidRDefault="000C355D" w:rsidP="00CF1103">
      <w:pPr>
        <w:pStyle w:val="Textonotapie"/>
        <w:ind w:left="-567"/>
        <w:jc w:val="both"/>
        <w:rPr>
          <w:i/>
          <w:sz w:val="16"/>
          <w:szCs w:val="16"/>
        </w:rPr>
      </w:pPr>
    </w:p>
  </w:footnote>
  <w:footnote w:id="6">
    <w:p w14:paraId="75189F37" w14:textId="77777777" w:rsidR="000C355D" w:rsidRPr="00E4723C" w:rsidRDefault="000C355D" w:rsidP="00CF1103">
      <w:pPr>
        <w:pStyle w:val="NormalWeb"/>
        <w:ind w:left="-567"/>
        <w:jc w:val="both"/>
        <w:rPr>
          <w:i/>
          <w:sz w:val="16"/>
          <w:szCs w:val="16"/>
        </w:rPr>
      </w:pPr>
      <w:r w:rsidRPr="00E4723C">
        <w:rPr>
          <w:rStyle w:val="Refdenotaalpie"/>
          <w:i/>
          <w:sz w:val="16"/>
          <w:szCs w:val="16"/>
        </w:rPr>
        <w:footnoteRef/>
      </w:r>
      <w:r w:rsidRPr="00E4723C">
        <w:rPr>
          <w:i/>
          <w:sz w:val="16"/>
          <w:szCs w:val="16"/>
        </w:rPr>
        <w:t xml:space="preserve"> </w:t>
      </w:r>
      <w:r w:rsidRPr="00E4723C">
        <w:rPr>
          <w:b/>
          <w:bCs/>
          <w:i/>
          <w:sz w:val="16"/>
          <w:szCs w:val="16"/>
          <w:lang w:val="es-ES_tradnl"/>
        </w:rPr>
        <w:t>A</w:t>
      </w:r>
      <w:r w:rsidRPr="00E4723C">
        <w:rPr>
          <w:b/>
          <w:bCs/>
          <w:i/>
          <w:sz w:val="16"/>
          <w:szCs w:val="16"/>
        </w:rPr>
        <w:t>RTÍCULO 148. PROCEDENCIA DE LA ACUMULACIÓN EN LOS PROCESOS DECLARATIVOS.</w:t>
      </w:r>
      <w:r w:rsidRPr="00E4723C">
        <w:rPr>
          <w:i/>
          <w:sz w:val="16"/>
          <w:szCs w:val="16"/>
        </w:rPr>
        <w:t> Para la acumulación de procesos y demandas se aplicarán las siguientes reglas:</w:t>
      </w:r>
    </w:p>
    <w:p w14:paraId="4CA0F21F" w14:textId="77777777" w:rsidR="000C355D" w:rsidRPr="00E4723C" w:rsidRDefault="000C355D" w:rsidP="00CF1103">
      <w:pPr>
        <w:pStyle w:val="NormalWeb"/>
        <w:ind w:left="-567"/>
        <w:jc w:val="both"/>
        <w:rPr>
          <w:i/>
          <w:sz w:val="16"/>
          <w:szCs w:val="16"/>
        </w:rPr>
      </w:pPr>
      <w:r w:rsidRPr="00E4723C">
        <w:rPr>
          <w:i/>
          <w:sz w:val="16"/>
          <w:szCs w:val="16"/>
        </w:rPr>
        <w:t xml:space="preserve">1. </w:t>
      </w:r>
      <w:r w:rsidRPr="00E4723C">
        <w:rPr>
          <w:b/>
          <w:i/>
          <w:sz w:val="16"/>
          <w:szCs w:val="16"/>
          <w:u w:val="single"/>
        </w:rPr>
        <w:t>Acumulación de procesos.</w:t>
      </w:r>
      <w:r w:rsidRPr="00E4723C">
        <w:rPr>
          <w:i/>
          <w:sz w:val="16"/>
          <w:szCs w:val="16"/>
          <w:u w:val="single"/>
        </w:rPr>
        <w:t xml:space="preserve"> </w:t>
      </w:r>
      <w:r w:rsidRPr="00E4723C">
        <w:rPr>
          <w:b/>
          <w:i/>
          <w:sz w:val="16"/>
          <w:szCs w:val="16"/>
          <w:u w:val="single"/>
        </w:rPr>
        <w:t>De oficio</w:t>
      </w:r>
      <w:r w:rsidRPr="00E4723C">
        <w:rPr>
          <w:i/>
          <w:sz w:val="16"/>
          <w:szCs w:val="16"/>
        </w:rPr>
        <w:t xml:space="preserve"> o a petición de parte </w:t>
      </w:r>
      <w:r w:rsidRPr="00E4723C">
        <w:rPr>
          <w:b/>
          <w:i/>
          <w:sz w:val="16"/>
          <w:szCs w:val="16"/>
          <w:u w:val="single"/>
        </w:rPr>
        <w:t>podrán acumularse dos (2) o más procesos que se encuentren en la misma instancia</w:t>
      </w:r>
      <w:r w:rsidRPr="00E4723C">
        <w:rPr>
          <w:i/>
          <w:sz w:val="16"/>
          <w:szCs w:val="16"/>
        </w:rPr>
        <w:t xml:space="preserve">, aunque no se haya notificado el auto admisorio de la demanda, </w:t>
      </w:r>
      <w:r w:rsidRPr="00E4723C">
        <w:rPr>
          <w:b/>
          <w:i/>
          <w:sz w:val="16"/>
          <w:szCs w:val="16"/>
          <w:u w:val="single"/>
        </w:rPr>
        <w:t>siempre que deban tramitarse por el mismo procedimiento</w:t>
      </w:r>
      <w:r w:rsidRPr="00E4723C">
        <w:rPr>
          <w:i/>
          <w:sz w:val="16"/>
          <w:szCs w:val="16"/>
        </w:rPr>
        <w:t>, en cualquiera de los siguientes casos:</w:t>
      </w:r>
    </w:p>
    <w:p w14:paraId="557573E4" w14:textId="77777777" w:rsidR="000C355D" w:rsidRPr="00E4723C" w:rsidRDefault="000C355D" w:rsidP="00CF1103">
      <w:pPr>
        <w:pStyle w:val="NormalWeb"/>
        <w:ind w:left="-567"/>
        <w:jc w:val="both"/>
        <w:rPr>
          <w:i/>
          <w:sz w:val="16"/>
          <w:szCs w:val="16"/>
        </w:rPr>
      </w:pPr>
      <w:r w:rsidRPr="00E4723C">
        <w:rPr>
          <w:i/>
          <w:sz w:val="16"/>
          <w:szCs w:val="16"/>
        </w:rPr>
        <w:t>a) Cuando las pretensiones formuladas habrían podido acumularse en la misma demanda.</w:t>
      </w:r>
    </w:p>
    <w:p w14:paraId="15EBC97F" w14:textId="77777777" w:rsidR="000C355D" w:rsidRPr="00E4723C" w:rsidRDefault="000C355D" w:rsidP="00CF1103">
      <w:pPr>
        <w:pStyle w:val="NormalWeb"/>
        <w:ind w:left="-567"/>
        <w:jc w:val="both"/>
        <w:rPr>
          <w:i/>
          <w:sz w:val="16"/>
          <w:szCs w:val="16"/>
        </w:rPr>
      </w:pPr>
      <w:r w:rsidRPr="00E4723C">
        <w:rPr>
          <w:i/>
          <w:sz w:val="16"/>
          <w:szCs w:val="16"/>
        </w:rPr>
        <w:t>b) Cuando se trate de pretensiones conexas y las partes sean demandantes y demandados recíprocos.</w:t>
      </w:r>
    </w:p>
    <w:p w14:paraId="119DD48C" w14:textId="77777777" w:rsidR="000C355D" w:rsidRPr="00E4723C" w:rsidRDefault="000C355D" w:rsidP="00CF1103">
      <w:pPr>
        <w:pStyle w:val="NormalWeb"/>
        <w:ind w:left="-567"/>
        <w:jc w:val="both"/>
        <w:rPr>
          <w:i/>
          <w:sz w:val="16"/>
          <w:szCs w:val="16"/>
        </w:rPr>
      </w:pPr>
      <w:r w:rsidRPr="00E4723C">
        <w:rPr>
          <w:i/>
          <w:sz w:val="16"/>
          <w:szCs w:val="16"/>
        </w:rPr>
        <w:t>c) Cuando el demandado sea el mismo y las excepciones de mérito propuestas se fundamenten en los mismos hechos.</w:t>
      </w:r>
    </w:p>
    <w:p w14:paraId="6EEFB64E" w14:textId="77777777" w:rsidR="000C355D" w:rsidRPr="00E4723C" w:rsidRDefault="000C355D" w:rsidP="00CF1103">
      <w:pPr>
        <w:pStyle w:val="NormalWeb"/>
        <w:ind w:left="-567"/>
        <w:jc w:val="both"/>
        <w:rPr>
          <w:i/>
          <w:sz w:val="16"/>
          <w:szCs w:val="16"/>
        </w:rPr>
      </w:pPr>
      <w:r w:rsidRPr="00E4723C">
        <w:rPr>
          <w:i/>
          <w:sz w:val="16"/>
          <w:szCs w:val="16"/>
        </w:rPr>
        <w:t>2. Acumulación de demandas. Aun antes de haber sido notificado el auto admisorio de la demanda, podrán formularse nuevas demandas declarativas en los mismos eventos en que hubiese sido procedente la acumulación de pretensiones.</w:t>
      </w:r>
    </w:p>
    <w:p w14:paraId="7D31B80E" w14:textId="77777777" w:rsidR="000C355D" w:rsidRPr="00E4723C" w:rsidRDefault="000C355D" w:rsidP="00CF1103">
      <w:pPr>
        <w:pStyle w:val="NormalWeb"/>
        <w:ind w:left="-567"/>
        <w:jc w:val="both"/>
        <w:rPr>
          <w:i/>
          <w:sz w:val="16"/>
          <w:szCs w:val="16"/>
        </w:rPr>
      </w:pPr>
      <w:r w:rsidRPr="00E4723C">
        <w:rPr>
          <w:i/>
          <w:sz w:val="16"/>
          <w:szCs w:val="16"/>
        </w:rPr>
        <w:t>3. Disposiciones comunes. Las acumulaciones en los procesos declarativos procederán hasta antes de señalarse fecha y hora para la audiencia inicial.</w:t>
      </w:r>
    </w:p>
    <w:p w14:paraId="776EFCAD" w14:textId="77777777" w:rsidR="000C355D" w:rsidRPr="00E4723C" w:rsidRDefault="000C355D" w:rsidP="00CF1103">
      <w:pPr>
        <w:pStyle w:val="NormalWeb"/>
        <w:ind w:left="-567"/>
        <w:jc w:val="both"/>
        <w:rPr>
          <w:i/>
          <w:sz w:val="16"/>
          <w:szCs w:val="16"/>
        </w:rPr>
      </w:pPr>
      <w:r w:rsidRPr="00E4723C">
        <w:rPr>
          <w:i/>
          <w:sz w:val="16"/>
          <w:szCs w:val="16"/>
        </w:rPr>
        <w:t>Si en alguno de los procesos ya se hubiere notificado al demandado el auto admisorio de la demanda, al decretarse la acumulación de procesos se dispondrá la notificación por estado del auto admisorio que estuviere pendiente de notificación.</w:t>
      </w:r>
    </w:p>
    <w:p w14:paraId="77E061F8" w14:textId="77777777" w:rsidR="000C355D" w:rsidRPr="00E4723C" w:rsidRDefault="000C355D" w:rsidP="00CF1103">
      <w:pPr>
        <w:pStyle w:val="NormalWeb"/>
        <w:ind w:left="-567"/>
        <w:jc w:val="both"/>
        <w:rPr>
          <w:i/>
          <w:sz w:val="16"/>
          <w:szCs w:val="16"/>
        </w:rPr>
      </w:pPr>
      <w:r w:rsidRPr="00E4723C">
        <w:rPr>
          <w:i/>
          <w:sz w:val="16"/>
          <w:szCs w:val="16"/>
        </w:rPr>
        <w:t>De la misma manera se notificará el auto admisorio de la nueva demanda acumulada, cuando el demandado ya esté notificado en el proceso donde se presenta la acumulación.</w:t>
      </w:r>
    </w:p>
    <w:p w14:paraId="761B614C" w14:textId="77777777" w:rsidR="000C355D" w:rsidRPr="00E4723C" w:rsidRDefault="000C355D" w:rsidP="00CF1103">
      <w:pPr>
        <w:pStyle w:val="NormalWeb"/>
        <w:ind w:left="-567"/>
        <w:jc w:val="both"/>
        <w:rPr>
          <w:i/>
          <w:sz w:val="16"/>
          <w:szCs w:val="16"/>
        </w:rPr>
      </w:pPr>
      <w:r w:rsidRPr="00E4723C">
        <w:rPr>
          <w:i/>
          <w:sz w:val="16"/>
          <w:szCs w:val="16"/>
        </w:rPr>
        <w:t>En estos casos el demandado podrá solicitar en la secretaría que se le suministre la reproducción de la demanda y de sus anexos dentro de los tres (3) días siguientes, vencidos los cuales comenzará a correr el término de ejecutoria y el de traslado de la demanda que estaba pendiente de notificación al momento de la acumulación.</w:t>
      </w:r>
    </w:p>
    <w:p w14:paraId="1370AAB5" w14:textId="77777777" w:rsidR="000C355D" w:rsidRPr="00E4723C" w:rsidRDefault="000C355D" w:rsidP="00CF1103">
      <w:pPr>
        <w:pStyle w:val="NormalWeb"/>
        <w:ind w:left="-567"/>
        <w:jc w:val="both"/>
        <w:rPr>
          <w:i/>
          <w:sz w:val="16"/>
          <w:szCs w:val="16"/>
        </w:rPr>
      </w:pPr>
      <w:r w:rsidRPr="00E4723C">
        <w:rPr>
          <w:i/>
          <w:sz w:val="16"/>
          <w:szCs w:val="16"/>
        </w:rPr>
        <w:t>Cuando un demandado no se hubiere notificado personalmente en ninguno de los procesos, se aplicarán las reglas generales.</w:t>
      </w:r>
    </w:p>
    <w:p w14:paraId="64518C3D" w14:textId="77777777" w:rsidR="000C355D" w:rsidRPr="00E4723C" w:rsidRDefault="000C355D" w:rsidP="00CF1103">
      <w:pPr>
        <w:pStyle w:val="NormalWeb"/>
        <w:ind w:left="-567"/>
        <w:jc w:val="both"/>
        <w:rPr>
          <w:i/>
          <w:sz w:val="16"/>
          <w:szCs w:val="16"/>
        </w:rPr>
      </w:pPr>
      <w:r w:rsidRPr="00E4723C">
        <w:rPr>
          <w:i/>
          <w:sz w:val="16"/>
          <w:szCs w:val="16"/>
        </w:rPr>
        <w:t>La acumulación de demandas y de procesos ejecutivos se regirá por lo dispuesto en los artículos </w:t>
      </w:r>
      <w:hyperlink r:id="rId1" w:anchor="463" w:history="1">
        <w:r w:rsidRPr="00E4723C">
          <w:rPr>
            <w:rStyle w:val="Hipervnculo"/>
            <w:i/>
            <w:sz w:val="16"/>
            <w:szCs w:val="16"/>
          </w:rPr>
          <w:t>463</w:t>
        </w:r>
      </w:hyperlink>
      <w:r w:rsidRPr="00E4723C">
        <w:rPr>
          <w:i/>
          <w:sz w:val="16"/>
          <w:szCs w:val="16"/>
        </w:rPr>
        <w:t> y </w:t>
      </w:r>
      <w:hyperlink r:id="rId2" w:anchor="464" w:history="1">
        <w:r w:rsidRPr="00E4723C">
          <w:rPr>
            <w:rStyle w:val="Hipervnculo"/>
            <w:i/>
            <w:sz w:val="16"/>
            <w:szCs w:val="16"/>
          </w:rPr>
          <w:t>464</w:t>
        </w:r>
      </w:hyperlink>
      <w:r w:rsidRPr="00E4723C">
        <w:rPr>
          <w:i/>
          <w:sz w:val="16"/>
          <w:szCs w:val="16"/>
        </w:rPr>
        <w:t> de este código</w:t>
      </w:r>
      <w:r w:rsidRPr="00E4723C">
        <w:rPr>
          <w:sz w:val="16"/>
          <w:szCs w:val="16"/>
        </w:rPr>
        <w:t xml:space="preserve">. </w:t>
      </w:r>
      <w:r w:rsidRPr="00E4723C">
        <w:rPr>
          <w:i/>
          <w:sz w:val="16"/>
          <w:szCs w:val="16"/>
        </w:rPr>
        <w:t xml:space="preserve"> (Negrillas y Subrayado del Despacho)</w:t>
      </w:r>
    </w:p>
    <w:p w14:paraId="277DD9A0" w14:textId="77777777" w:rsidR="000C355D" w:rsidRPr="00E4723C" w:rsidRDefault="000C355D" w:rsidP="00CF1103">
      <w:pPr>
        <w:pStyle w:val="Textonotapie"/>
        <w:ind w:left="-567"/>
        <w:jc w:val="both"/>
        <w:rPr>
          <w:sz w:val="16"/>
          <w:szCs w:val="16"/>
        </w:rPr>
      </w:pPr>
    </w:p>
  </w:footnote>
  <w:footnote w:id="7">
    <w:p w14:paraId="596CAED0" w14:textId="2ED20392" w:rsidR="00785C54" w:rsidRPr="000C355D" w:rsidRDefault="00785C54" w:rsidP="005D116E">
      <w:pPr>
        <w:pStyle w:val="NormalWeb"/>
        <w:spacing w:before="0" w:beforeAutospacing="0" w:after="0" w:afterAutospacing="0"/>
        <w:ind w:left="-709"/>
        <w:jc w:val="both"/>
        <w:rPr>
          <w:i/>
          <w:sz w:val="16"/>
          <w:szCs w:val="16"/>
        </w:rPr>
      </w:pPr>
      <w:r w:rsidRPr="000C355D">
        <w:rPr>
          <w:rStyle w:val="Refdenotaalpie"/>
          <w:i/>
          <w:sz w:val="16"/>
          <w:szCs w:val="16"/>
        </w:rPr>
        <w:footnoteRef/>
      </w:r>
      <w:r w:rsidRPr="000C355D">
        <w:rPr>
          <w:i/>
          <w:sz w:val="16"/>
          <w:szCs w:val="16"/>
        </w:rPr>
        <w:t xml:space="preserve"> </w:t>
      </w:r>
      <w:bookmarkStart w:id="2" w:name="295"/>
      <w:r w:rsidR="00A57102" w:rsidRPr="000C355D">
        <w:rPr>
          <w:bCs/>
          <w:i/>
          <w:sz w:val="16"/>
          <w:szCs w:val="16"/>
        </w:rPr>
        <w:t xml:space="preserve">Ley 1564 de 2012 </w:t>
      </w:r>
      <w:r w:rsidRPr="000C355D">
        <w:rPr>
          <w:bCs/>
          <w:i/>
          <w:sz w:val="16"/>
          <w:szCs w:val="16"/>
        </w:rPr>
        <w:t xml:space="preserve">Artículo </w:t>
      </w:r>
      <w:r w:rsidR="00475CAD" w:rsidRPr="000C355D">
        <w:rPr>
          <w:bCs/>
          <w:i/>
          <w:sz w:val="16"/>
          <w:szCs w:val="16"/>
        </w:rPr>
        <w:t>295 NOTIFICACIONES</w:t>
      </w:r>
      <w:r w:rsidR="00750D7E" w:rsidRPr="000C355D">
        <w:rPr>
          <w:bCs/>
          <w:i/>
          <w:sz w:val="16"/>
          <w:szCs w:val="16"/>
        </w:rPr>
        <w:t xml:space="preserve"> POR ESTADO</w:t>
      </w:r>
      <w:r w:rsidRPr="000C355D">
        <w:rPr>
          <w:b/>
          <w:bCs/>
          <w:i/>
          <w:sz w:val="16"/>
          <w:szCs w:val="16"/>
        </w:rPr>
        <w:t>.</w:t>
      </w:r>
      <w:bookmarkEnd w:id="2"/>
      <w:r w:rsidRPr="000C355D">
        <w:rPr>
          <w:i/>
          <w:sz w:val="16"/>
          <w:szCs w:val="16"/>
        </w:rPr>
        <w:t> Las notificaciones de autos y sentencias que no deban hacerse de otra manera se cumplirán por medio de anotación en estados que elaborará el Secretario. La inserción en el estado se hará al día siguiente a la fecha de la providencia, y en él deberá constar: (…)”.</w:t>
      </w:r>
    </w:p>
    <w:p w14:paraId="397B46DE" w14:textId="77777777" w:rsidR="00A57102" w:rsidRPr="000C355D" w:rsidRDefault="00A57102" w:rsidP="005D116E">
      <w:pPr>
        <w:pStyle w:val="NormalWeb"/>
        <w:spacing w:before="0" w:beforeAutospacing="0" w:after="0" w:afterAutospacing="0"/>
        <w:ind w:left="-709"/>
        <w:jc w:val="both"/>
        <w:rPr>
          <w:i/>
          <w:sz w:val="16"/>
          <w:szCs w:val="16"/>
        </w:rPr>
      </w:pPr>
    </w:p>
  </w:footnote>
  <w:footnote w:id="8">
    <w:p w14:paraId="495A7C4D" w14:textId="77777777" w:rsidR="00785C54" w:rsidRPr="000C355D" w:rsidRDefault="00785C54" w:rsidP="005D116E">
      <w:pPr>
        <w:pStyle w:val="Textonotapie"/>
        <w:ind w:left="-709"/>
        <w:jc w:val="both"/>
        <w:rPr>
          <w:i/>
          <w:sz w:val="16"/>
          <w:szCs w:val="16"/>
        </w:rPr>
      </w:pPr>
      <w:r w:rsidRPr="000C355D">
        <w:rPr>
          <w:rStyle w:val="Refdenotaalpie"/>
          <w:b/>
          <w:i/>
          <w:sz w:val="16"/>
          <w:szCs w:val="16"/>
        </w:rPr>
        <w:footnoteRef/>
      </w:r>
      <w:r w:rsidRPr="000C355D">
        <w:rPr>
          <w:b/>
          <w:i/>
          <w:sz w:val="16"/>
          <w:szCs w:val="16"/>
        </w:rPr>
        <w:t xml:space="preserve"> </w:t>
      </w:r>
      <w:r w:rsidR="00A57102" w:rsidRPr="000C355D">
        <w:rPr>
          <w:i/>
          <w:sz w:val="16"/>
          <w:szCs w:val="16"/>
        </w:rPr>
        <w:t xml:space="preserve">Ley 1476 de 2011 </w:t>
      </w:r>
      <w:r w:rsidRPr="000C355D">
        <w:rPr>
          <w:i/>
          <w:sz w:val="16"/>
          <w:szCs w:val="16"/>
        </w:rPr>
        <w:t xml:space="preserve">Artículo 10 </w:t>
      </w:r>
      <w:r w:rsidR="00750D7E" w:rsidRPr="000C355D">
        <w:rPr>
          <w:i/>
          <w:sz w:val="16"/>
          <w:szCs w:val="16"/>
        </w:rPr>
        <w:t>INTEGRACIÓN NORMATIVA</w:t>
      </w:r>
      <w:r w:rsidRPr="000C355D">
        <w:rPr>
          <w:i/>
          <w:sz w:val="16"/>
          <w:szCs w:val="16"/>
        </w:rPr>
        <w:t xml:space="preserve">. En la aplicación de la presente ley prevalecerán los principios y normas rectoras contenidos en esta ley y en la Constitución Política. </w:t>
      </w:r>
      <w:r w:rsidRPr="000C355D">
        <w:rPr>
          <w:b/>
          <w:i/>
          <w:sz w:val="16"/>
          <w:szCs w:val="16"/>
          <w:u w:val="single"/>
        </w:rPr>
        <w:t>En lo no previsto, se aplicarán en su orden las disposiciones del</w:t>
      </w:r>
      <w:r w:rsidRPr="000C355D">
        <w:rPr>
          <w:i/>
          <w:sz w:val="16"/>
          <w:szCs w:val="16"/>
        </w:rPr>
        <w:t xml:space="preserve"> Código Contencioso Administrativo, </w:t>
      </w:r>
      <w:r w:rsidRPr="000C355D">
        <w:rPr>
          <w:b/>
          <w:i/>
          <w:sz w:val="16"/>
          <w:szCs w:val="16"/>
          <w:u w:val="single"/>
        </w:rPr>
        <w:t>el Código de Procedimiento Civil</w:t>
      </w:r>
      <w:r w:rsidRPr="000C355D">
        <w:rPr>
          <w:i/>
          <w:sz w:val="16"/>
          <w:szCs w:val="16"/>
        </w:rPr>
        <w:t xml:space="preserve"> y el Código Penal Militar, en cuanto sean compatibles con la naturaleza de los informativos administrativos.</w:t>
      </w:r>
      <w:r w:rsidRPr="000C355D">
        <w:rPr>
          <w:sz w:val="16"/>
          <w:szCs w:val="16"/>
        </w:rPr>
        <w:t xml:space="preserve"> (Negrilla y Subrayado fuera de texto). (</w:t>
      </w:r>
      <w:r w:rsidRPr="000C355D">
        <w:rPr>
          <w:b/>
          <w:sz w:val="16"/>
          <w:szCs w:val="16"/>
        </w:rPr>
        <w:t>NOTA:</w:t>
      </w:r>
      <w:r w:rsidRPr="000C355D">
        <w:rPr>
          <w:sz w:val="16"/>
          <w:szCs w:val="16"/>
        </w:rPr>
        <w:t xml:space="preserve"> En virtud de la derogatoria del Código de Procedimiento Civil, entiéndase en su lugar el Código General del Proceso).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2552"/>
    </w:tblGrid>
    <w:tr w:rsidR="007A796D" w:rsidRPr="00333E73" w14:paraId="6F5B9D02" w14:textId="77777777" w:rsidTr="00DF3906">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4B37277B" w14:textId="03F91D27" w:rsidR="007A796D" w:rsidRPr="00555D21" w:rsidRDefault="007A796D" w:rsidP="007A796D">
          <w:pPr>
            <w:pStyle w:val="Sinespaciado"/>
            <w:rPr>
              <w:rFonts w:ascii="Arial" w:hAnsi="Arial" w:cs="Arial"/>
              <w:b/>
              <w:sz w:val="16"/>
              <w:szCs w:val="16"/>
            </w:rPr>
          </w:pPr>
          <w:r>
            <w:rPr>
              <w:noProof/>
              <w:lang w:val="es-MX" w:eastAsia="es-MX"/>
            </w:rPr>
            <w:drawing>
              <wp:anchor distT="0" distB="0" distL="114300" distR="114300" simplePos="0" relativeHeight="251672576" behindDoc="0" locked="0" layoutInCell="1" allowOverlap="1" wp14:anchorId="454B3BF1" wp14:editId="7247688F">
                <wp:simplePos x="0" y="0"/>
                <wp:positionH relativeFrom="column">
                  <wp:posOffset>-55880</wp:posOffset>
                </wp:positionH>
                <wp:positionV relativeFrom="paragraph">
                  <wp:posOffset>13335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1DF27F4A" w14:textId="77777777" w:rsidR="007A796D" w:rsidRPr="00555D21" w:rsidRDefault="007A796D" w:rsidP="007A796D">
          <w:pPr>
            <w:pStyle w:val="Sinespaciado"/>
            <w:rPr>
              <w:rFonts w:ascii="Arial" w:hAnsi="Arial" w:cs="Arial"/>
              <w:b/>
              <w:sz w:val="2"/>
              <w:szCs w:val="16"/>
            </w:rPr>
          </w:pPr>
        </w:p>
        <w:p w14:paraId="7B09F90B" w14:textId="77777777" w:rsidR="007A796D" w:rsidRPr="00555D21" w:rsidRDefault="007A796D" w:rsidP="007A796D">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48A41FEB" w14:textId="77777777" w:rsidR="007A796D" w:rsidRPr="00555D21" w:rsidRDefault="007A796D" w:rsidP="007A796D">
          <w:pPr>
            <w:pStyle w:val="Sinespaciado"/>
            <w:rPr>
              <w:rFonts w:ascii="Arial" w:hAnsi="Arial" w:cs="Arial"/>
              <w:b/>
              <w:sz w:val="16"/>
              <w:szCs w:val="16"/>
            </w:rPr>
          </w:pPr>
          <w:r w:rsidRPr="00555D21">
            <w:rPr>
              <w:rFonts w:ascii="Arial" w:hAnsi="Arial" w:cs="Arial"/>
              <w:b/>
              <w:sz w:val="16"/>
              <w:szCs w:val="16"/>
            </w:rPr>
            <w:t xml:space="preserve">                     EJÉRCITO NACIONAL</w:t>
          </w:r>
        </w:p>
        <w:p w14:paraId="5B695D33" w14:textId="77777777" w:rsidR="007A796D" w:rsidRPr="00555D21" w:rsidRDefault="007A796D" w:rsidP="007A796D">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74295DC4" w14:textId="77777777" w:rsidR="007A796D" w:rsidRPr="00333E73" w:rsidRDefault="007A796D" w:rsidP="007A796D">
          <w:pPr>
            <w:pStyle w:val="Sinespaciado"/>
            <w:rPr>
              <w:sz w:val="16"/>
            </w:rPr>
          </w:pPr>
          <w:r w:rsidRPr="00555D21">
            <w:rPr>
              <w:rFonts w:ascii="Arial" w:hAnsi="Arial" w:cs="Arial"/>
              <w:b/>
              <w:sz w:val="16"/>
              <w:szCs w:val="16"/>
            </w:rPr>
            <w:t xml:space="preserve">                     ADMINISTRATIVOS DEL EJÉRCITO NACIONAL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1FF2C26" w14:textId="77777777" w:rsidR="007A796D" w:rsidRPr="00506A91" w:rsidRDefault="007A796D" w:rsidP="007A796D">
          <w:pPr>
            <w:suppressLineNumbers/>
            <w:tabs>
              <w:tab w:val="center" w:pos="4818"/>
              <w:tab w:val="right" w:pos="9637"/>
            </w:tabs>
            <w:contextualSpacing/>
            <w:jc w:val="center"/>
            <w:rPr>
              <w:rFonts w:ascii="Arial" w:hAnsi="Arial" w:cs="Arial"/>
              <w:b/>
              <w:color w:val="000000" w:themeColor="text1"/>
              <w:sz w:val="16"/>
              <w:szCs w:val="20"/>
            </w:rPr>
          </w:pPr>
          <w:r w:rsidRPr="002840BB">
            <w:rPr>
              <w:rFonts w:ascii="Arial" w:hAnsi="Arial" w:cs="Arial"/>
              <w:b/>
              <w:sz w:val="18"/>
              <w:szCs w:val="20"/>
            </w:rPr>
            <w:t>AUTO QUE RESUELVE LA UNIDAD PROCESAL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4DA90F" w14:textId="6B1482F3" w:rsidR="007A796D" w:rsidRPr="00333E73" w:rsidRDefault="007A796D" w:rsidP="007A796D">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4B4664">
            <w:rPr>
              <w:rFonts w:ascii="Arial" w:hAnsi="Arial" w:cs="Arial"/>
              <w:noProof/>
              <w:sz w:val="16"/>
              <w:szCs w:val="16"/>
            </w:rPr>
            <w:t>6</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6</w:t>
          </w:r>
        </w:p>
      </w:tc>
    </w:tr>
    <w:tr w:rsidR="007A796D" w:rsidRPr="00333E73" w14:paraId="55AF1C66" w14:textId="77777777" w:rsidTr="00DF3906">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28A33988" w14:textId="77777777" w:rsidR="007A796D" w:rsidRDefault="007A796D" w:rsidP="007A796D">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8E2EE26" w14:textId="77777777" w:rsidR="007A796D" w:rsidRPr="00333E73" w:rsidRDefault="007A796D" w:rsidP="007A796D">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4D6F62E" w14:textId="77777777" w:rsidR="007A796D" w:rsidRPr="00333E73" w:rsidRDefault="007A796D" w:rsidP="007A796D">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2310</w:t>
          </w:r>
        </w:p>
      </w:tc>
    </w:tr>
    <w:tr w:rsidR="007A796D" w:rsidRPr="00333E73" w14:paraId="0BA5AA14" w14:textId="77777777" w:rsidTr="00DF3906">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39E15F27" w14:textId="77777777" w:rsidR="007A796D" w:rsidRDefault="007A796D" w:rsidP="007A796D">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0C3CCD" w14:textId="77777777" w:rsidR="007A796D" w:rsidRPr="00333E73" w:rsidRDefault="007A796D" w:rsidP="007A796D">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8551F2" w14:textId="77777777" w:rsidR="007A796D" w:rsidRPr="00333E73" w:rsidRDefault="007A796D" w:rsidP="007A796D">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7A796D" w:rsidRPr="00333E73" w14:paraId="63DA35B5" w14:textId="77777777" w:rsidTr="00DF3906">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6D7A69CD" w14:textId="77777777" w:rsidR="007A796D" w:rsidRDefault="007A796D" w:rsidP="007A796D">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C39C195" w14:textId="77777777" w:rsidR="007A796D" w:rsidRPr="00333E73" w:rsidRDefault="007A796D" w:rsidP="007A796D">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EC41805" w14:textId="0507120A" w:rsidR="007A796D" w:rsidRPr="00333E73" w:rsidRDefault="007A796D" w:rsidP="007A796D">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4B4664" w:rsidRPr="004B4664">
            <w:rPr>
              <w:rFonts w:ascii="Arial" w:hAnsi="Arial" w:cs="Arial"/>
              <w:sz w:val="16"/>
              <w:szCs w:val="16"/>
            </w:rPr>
            <w:t>2026-02-11</w:t>
          </w:r>
        </w:p>
      </w:tc>
    </w:tr>
  </w:tbl>
  <w:p w14:paraId="67774E23" w14:textId="0AB471F2" w:rsidR="009432C7" w:rsidRPr="007C1F43" w:rsidRDefault="00491D07" w:rsidP="007C1F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2807"/>
      <w:gridCol w:w="2693"/>
    </w:tblGrid>
    <w:tr w:rsidR="007C1F43" w:rsidRPr="007C1F43" w14:paraId="6ABC0D24" w14:textId="77777777" w:rsidTr="008D0C38">
      <w:trPr>
        <w:trHeight w:val="303"/>
      </w:trPr>
      <w:tc>
        <w:tcPr>
          <w:tcW w:w="4282" w:type="dxa"/>
          <w:vMerge w:val="restart"/>
          <w:tcBorders>
            <w:top w:val="single" w:sz="4" w:space="0" w:color="auto"/>
            <w:left w:val="single" w:sz="4" w:space="0" w:color="auto"/>
            <w:bottom w:val="single" w:sz="4" w:space="0" w:color="auto"/>
            <w:right w:val="single" w:sz="4" w:space="0" w:color="auto"/>
          </w:tcBorders>
          <w:vAlign w:val="center"/>
        </w:tcPr>
        <w:p w14:paraId="2510DD8B" w14:textId="77777777" w:rsidR="007C1F43" w:rsidRPr="007C1F43" w:rsidRDefault="007C1F43" w:rsidP="007C1F43">
          <w:pPr>
            <w:ind w:left="743" w:hanging="141"/>
            <w:rPr>
              <w:rFonts w:ascii="Arial" w:hAnsi="Arial" w:cs="Arial"/>
              <w:b/>
              <w:bCs/>
              <w:sz w:val="16"/>
              <w:szCs w:val="16"/>
              <w:lang w:val="es-ES" w:eastAsia="en-US"/>
            </w:rPr>
          </w:pPr>
          <w:r w:rsidRPr="007C1F43">
            <w:rPr>
              <w:noProof/>
              <w:sz w:val="20"/>
              <w:szCs w:val="20"/>
              <w:lang w:val="es-MX" w:eastAsia="es-MX"/>
            </w:rPr>
            <w:drawing>
              <wp:anchor distT="0" distB="0" distL="114300" distR="114300" simplePos="0" relativeHeight="251662336" behindDoc="0" locked="0" layoutInCell="1" allowOverlap="1" wp14:anchorId="16E7CD36" wp14:editId="55B85DA4">
                <wp:simplePos x="0" y="0"/>
                <wp:positionH relativeFrom="column">
                  <wp:posOffset>-38735</wp:posOffset>
                </wp:positionH>
                <wp:positionV relativeFrom="paragraph">
                  <wp:posOffset>-15240</wp:posOffset>
                </wp:positionV>
                <wp:extent cx="397510" cy="509905"/>
                <wp:effectExtent l="0" t="0" r="2540"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7C1F43">
            <w:rPr>
              <w:rFonts w:ascii="Arial" w:hAnsi="Arial" w:cs="Arial"/>
              <w:b/>
              <w:bCs/>
              <w:sz w:val="16"/>
              <w:szCs w:val="16"/>
              <w:lang w:val="es-ES" w:eastAsia="en-US"/>
            </w:rPr>
            <w:t>MINISTERIO DE DEFENSA NACIONAL</w:t>
          </w:r>
        </w:p>
        <w:p w14:paraId="130FDB64" w14:textId="77777777" w:rsidR="007C1F43" w:rsidRPr="007C1F43" w:rsidRDefault="007C1F43" w:rsidP="007C1F43">
          <w:pPr>
            <w:ind w:left="602" w:hanging="141"/>
            <w:rPr>
              <w:rFonts w:ascii="Arial" w:hAnsi="Arial" w:cs="Arial"/>
              <w:b/>
              <w:bCs/>
              <w:sz w:val="2"/>
              <w:szCs w:val="16"/>
              <w:lang w:val="es-ES" w:eastAsia="en-US"/>
            </w:rPr>
          </w:pPr>
        </w:p>
        <w:p w14:paraId="62604027" w14:textId="77777777" w:rsidR="007C1F43" w:rsidRPr="007C1F43" w:rsidRDefault="007C1F43" w:rsidP="007C1F43">
          <w:pPr>
            <w:ind w:left="602"/>
            <w:rPr>
              <w:rFonts w:ascii="Arial" w:hAnsi="Arial" w:cs="Arial"/>
              <w:b/>
              <w:bCs/>
              <w:sz w:val="16"/>
              <w:szCs w:val="16"/>
              <w:lang w:val="es-ES" w:eastAsia="en-US"/>
            </w:rPr>
          </w:pPr>
          <w:r w:rsidRPr="007C1F43">
            <w:rPr>
              <w:rFonts w:ascii="Arial" w:hAnsi="Arial" w:cs="Arial"/>
              <w:b/>
              <w:bCs/>
              <w:sz w:val="16"/>
              <w:szCs w:val="16"/>
              <w:lang w:val="es-ES" w:eastAsia="en-US"/>
            </w:rPr>
            <w:t>COMANDO GENERAL FUERZAS MILITARES</w:t>
          </w:r>
        </w:p>
        <w:p w14:paraId="2189F42F" w14:textId="77777777" w:rsidR="007C1F43" w:rsidRPr="007C1F43" w:rsidRDefault="007C1F43" w:rsidP="007C1F43">
          <w:pPr>
            <w:ind w:left="602" w:hanging="141"/>
            <w:rPr>
              <w:rFonts w:ascii="Arial" w:hAnsi="Arial" w:cs="Arial"/>
              <w:b/>
              <w:bCs/>
              <w:sz w:val="2"/>
              <w:szCs w:val="16"/>
              <w:lang w:val="es-ES" w:eastAsia="en-US"/>
            </w:rPr>
          </w:pPr>
        </w:p>
        <w:p w14:paraId="446964A6" w14:textId="77777777" w:rsidR="007C1F43" w:rsidRPr="007C1F43" w:rsidRDefault="007C1F43" w:rsidP="007C1F43">
          <w:pPr>
            <w:ind w:left="602"/>
            <w:rPr>
              <w:rFonts w:ascii="Arial" w:hAnsi="Arial" w:cs="Arial"/>
              <w:b/>
              <w:bCs/>
              <w:sz w:val="16"/>
              <w:szCs w:val="16"/>
              <w:lang w:val="es-ES" w:eastAsia="en-US"/>
            </w:rPr>
          </w:pPr>
          <w:r w:rsidRPr="007C1F43">
            <w:rPr>
              <w:rFonts w:ascii="Arial" w:hAnsi="Arial" w:cs="Arial"/>
              <w:b/>
              <w:bCs/>
              <w:sz w:val="16"/>
              <w:szCs w:val="16"/>
              <w:lang w:val="es-ES" w:eastAsia="en-US"/>
            </w:rPr>
            <w:t>EJÉRCITO NACIONAL</w:t>
          </w:r>
        </w:p>
        <w:p w14:paraId="1A470947" w14:textId="77777777" w:rsidR="007C1F43" w:rsidRPr="007C1F43" w:rsidRDefault="007C1F43" w:rsidP="007C1F43">
          <w:pPr>
            <w:ind w:left="602"/>
            <w:rPr>
              <w:rFonts w:ascii="Arial" w:hAnsi="Arial" w:cs="Arial"/>
              <w:b/>
              <w:bCs/>
              <w:sz w:val="16"/>
              <w:szCs w:val="16"/>
              <w:lang w:val="es-ES" w:eastAsia="en-US"/>
            </w:rPr>
          </w:pPr>
          <w:r w:rsidRPr="007C1F43">
            <w:rPr>
              <w:rFonts w:ascii="Arial" w:hAnsi="Arial" w:cs="Arial"/>
              <w:b/>
              <w:bCs/>
              <w:sz w:val="16"/>
              <w:szCs w:val="16"/>
              <w:lang w:val="es-ES" w:eastAsia="en-US"/>
            </w:rPr>
            <w:t>DEPARTAMENTO JURÍDICO INTEGRAL</w:t>
          </w:r>
        </w:p>
      </w:tc>
      <w:tc>
        <w:tcPr>
          <w:tcW w:w="2807" w:type="dxa"/>
          <w:vMerge w:val="restart"/>
          <w:tcBorders>
            <w:top w:val="single" w:sz="4" w:space="0" w:color="auto"/>
            <w:left w:val="single" w:sz="4" w:space="0" w:color="auto"/>
            <w:bottom w:val="single" w:sz="4" w:space="0" w:color="auto"/>
            <w:right w:val="single" w:sz="4" w:space="0" w:color="auto"/>
          </w:tcBorders>
          <w:vAlign w:val="center"/>
          <w:hideMark/>
        </w:tcPr>
        <w:p w14:paraId="323B9B85" w14:textId="125EFC1B" w:rsidR="007C1F43" w:rsidRPr="007C1F43" w:rsidRDefault="007C1F43" w:rsidP="007C1F43">
          <w:pPr>
            <w:suppressLineNumbers/>
            <w:tabs>
              <w:tab w:val="center" w:pos="4818"/>
              <w:tab w:val="right" w:pos="9637"/>
            </w:tabs>
            <w:spacing w:line="276" w:lineRule="auto"/>
            <w:ind w:left="34"/>
            <w:jc w:val="center"/>
            <w:rPr>
              <w:rFonts w:ascii="Arial" w:hAnsi="Arial" w:cs="Arial"/>
              <w:b/>
              <w:color w:val="000000"/>
              <w:sz w:val="28"/>
              <w:szCs w:val="20"/>
              <w:lang w:val="es-ES" w:eastAsia="en-US"/>
            </w:rPr>
          </w:pPr>
          <w:r w:rsidRPr="007C1F43">
            <w:rPr>
              <w:rFonts w:ascii="Arial" w:hAnsi="Arial" w:cs="Arial"/>
              <w:b/>
              <w:color w:val="000000"/>
              <w:sz w:val="22"/>
              <w:szCs w:val="20"/>
              <w:lang w:val="es-ES" w:eastAsia="en-US"/>
            </w:rPr>
            <w:t xml:space="preserve">AUTO </w:t>
          </w:r>
          <w:r w:rsidR="008C5B33">
            <w:rPr>
              <w:rFonts w:ascii="Arial" w:hAnsi="Arial" w:cs="Arial"/>
              <w:b/>
              <w:color w:val="000000"/>
              <w:sz w:val="22"/>
              <w:szCs w:val="20"/>
              <w:lang w:val="es-ES" w:eastAsia="en-US"/>
            </w:rPr>
            <w:t xml:space="preserve">QUE </w:t>
          </w:r>
          <w:r w:rsidRPr="007C1F43">
            <w:rPr>
              <w:rFonts w:ascii="Arial" w:hAnsi="Arial" w:cs="Arial"/>
              <w:b/>
              <w:color w:val="000000"/>
              <w:sz w:val="22"/>
              <w:szCs w:val="20"/>
              <w:lang w:val="es-ES" w:eastAsia="en-US"/>
            </w:rPr>
            <w:t xml:space="preserve">RESUELVE </w:t>
          </w:r>
          <w:r w:rsidR="008C5B33">
            <w:rPr>
              <w:rFonts w:ascii="Arial" w:hAnsi="Arial" w:cs="Arial"/>
              <w:b/>
              <w:color w:val="000000"/>
              <w:sz w:val="22"/>
              <w:szCs w:val="20"/>
              <w:lang w:val="es-ES" w:eastAsia="en-US"/>
            </w:rPr>
            <w:t xml:space="preserve">LA </w:t>
          </w:r>
          <w:r w:rsidRPr="007C1F43">
            <w:rPr>
              <w:rFonts w:ascii="Arial" w:hAnsi="Arial" w:cs="Arial"/>
              <w:b/>
              <w:color w:val="000000"/>
              <w:sz w:val="22"/>
              <w:szCs w:val="20"/>
              <w:lang w:val="es-ES" w:eastAsia="en-US"/>
            </w:rPr>
            <w:t>UNIDAD PROCESAL</w:t>
          </w:r>
          <w:r w:rsidR="00905180">
            <w:rPr>
              <w:rFonts w:ascii="Arial" w:hAnsi="Arial" w:cs="Arial"/>
              <w:b/>
              <w:color w:val="000000"/>
              <w:sz w:val="22"/>
              <w:szCs w:val="20"/>
              <w:lang w:val="es-ES" w:eastAsia="en-US"/>
            </w:rPr>
            <w:t xml:space="preserve"> EN LA ACTUACIÓN ADMINISTRATIVA</w:t>
          </w:r>
          <w:r w:rsidRPr="007C1F43">
            <w:rPr>
              <w:rFonts w:ascii="Arial" w:hAnsi="Arial" w:cs="Arial"/>
              <w:b/>
              <w:color w:val="000000"/>
              <w:sz w:val="22"/>
              <w:szCs w:val="20"/>
              <w:lang w:val="es-ES"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CA1608" w14:textId="3FEDB8AC" w:rsidR="007C1F43" w:rsidRPr="007C1F43" w:rsidRDefault="007C1F43" w:rsidP="007C1F43">
          <w:pPr>
            <w:spacing w:line="276" w:lineRule="auto"/>
            <w:rPr>
              <w:rFonts w:ascii="Arial" w:hAnsi="Arial" w:cs="Arial"/>
              <w:b/>
              <w:bCs/>
              <w:color w:val="000000"/>
              <w:sz w:val="16"/>
              <w:szCs w:val="16"/>
              <w:lang w:val="es-ES" w:eastAsia="en-US"/>
            </w:rPr>
          </w:pPr>
          <w:r w:rsidRPr="007C1F43">
            <w:rPr>
              <w:rFonts w:ascii="Arial" w:hAnsi="Arial" w:cs="Arial"/>
              <w:b/>
              <w:bCs/>
              <w:color w:val="000000"/>
              <w:sz w:val="16"/>
              <w:szCs w:val="16"/>
              <w:lang w:val="es-ES" w:eastAsia="en-US"/>
            </w:rPr>
            <w:t>Pág.</w:t>
          </w:r>
          <w:r w:rsidRPr="007C1F43">
            <w:rPr>
              <w:rFonts w:ascii="Arial" w:hAnsi="Arial" w:cs="Arial"/>
              <w:color w:val="000000"/>
              <w:sz w:val="16"/>
              <w:szCs w:val="16"/>
              <w:lang w:val="es-ES" w:eastAsia="en-US"/>
            </w:rPr>
            <w:t xml:space="preserve"> </w:t>
          </w:r>
          <w:r w:rsidRPr="007C1F43">
            <w:rPr>
              <w:rFonts w:ascii="Arial" w:hAnsi="Arial" w:cs="Arial"/>
              <w:color w:val="000000"/>
              <w:sz w:val="16"/>
              <w:szCs w:val="16"/>
              <w:lang w:val="es-ES" w:eastAsia="en-US"/>
            </w:rPr>
            <w:fldChar w:fldCharType="begin"/>
          </w:r>
          <w:r w:rsidRPr="007C1F43">
            <w:rPr>
              <w:rFonts w:ascii="Arial" w:hAnsi="Arial" w:cs="Arial"/>
              <w:color w:val="000000"/>
              <w:sz w:val="16"/>
              <w:szCs w:val="16"/>
              <w:lang w:val="es-ES" w:eastAsia="en-US"/>
            </w:rPr>
            <w:instrText>PAGE   \* MERGEFORMAT</w:instrText>
          </w:r>
          <w:r w:rsidRPr="007C1F43">
            <w:rPr>
              <w:rFonts w:ascii="Arial" w:hAnsi="Arial" w:cs="Arial"/>
              <w:color w:val="000000"/>
              <w:sz w:val="16"/>
              <w:szCs w:val="16"/>
              <w:lang w:val="es-ES" w:eastAsia="en-US"/>
            </w:rPr>
            <w:fldChar w:fldCharType="separate"/>
          </w:r>
          <w:r w:rsidR="00E4723C">
            <w:rPr>
              <w:rFonts w:ascii="Arial" w:hAnsi="Arial" w:cs="Arial"/>
              <w:noProof/>
              <w:color w:val="000000"/>
              <w:sz w:val="16"/>
              <w:szCs w:val="16"/>
              <w:lang w:val="es-ES" w:eastAsia="en-US"/>
            </w:rPr>
            <w:t>1</w:t>
          </w:r>
          <w:r w:rsidRPr="007C1F43">
            <w:rPr>
              <w:rFonts w:ascii="Arial" w:hAnsi="Arial" w:cs="Arial"/>
              <w:color w:val="000000"/>
              <w:sz w:val="16"/>
              <w:szCs w:val="16"/>
              <w:lang w:val="es-ES" w:eastAsia="en-US"/>
            </w:rPr>
            <w:fldChar w:fldCharType="end"/>
          </w:r>
          <w:r w:rsidRPr="007C1F43">
            <w:rPr>
              <w:rFonts w:ascii="Arial" w:hAnsi="Arial" w:cs="Arial"/>
              <w:color w:val="000000"/>
              <w:sz w:val="16"/>
              <w:szCs w:val="16"/>
              <w:lang w:val="es-ES" w:eastAsia="en-US"/>
            </w:rPr>
            <w:t xml:space="preserve"> de </w:t>
          </w:r>
          <w:r w:rsidRPr="007C1F43">
            <w:rPr>
              <w:rFonts w:ascii="Arial" w:hAnsi="Arial" w:cs="Arial"/>
              <w:color w:val="000000"/>
              <w:sz w:val="16"/>
              <w:szCs w:val="16"/>
              <w:lang w:val="es-ES" w:eastAsia="en-US"/>
            </w:rPr>
            <w:fldChar w:fldCharType="begin"/>
          </w:r>
          <w:r w:rsidRPr="007C1F43">
            <w:rPr>
              <w:rFonts w:ascii="Arial" w:hAnsi="Arial" w:cs="Arial"/>
              <w:color w:val="000000"/>
              <w:sz w:val="16"/>
              <w:szCs w:val="16"/>
              <w:lang w:val="es-ES" w:eastAsia="en-US"/>
            </w:rPr>
            <w:instrText xml:space="preserve"> NUMPAGES   \* MERGEFORMAT </w:instrText>
          </w:r>
          <w:r w:rsidRPr="007C1F43">
            <w:rPr>
              <w:rFonts w:ascii="Arial" w:hAnsi="Arial" w:cs="Arial"/>
              <w:color w:val="000000"/>
              <w:sz w:val="16"/>
              <w:szCs w:val="16"/>
              <w:lang w:val="es-ES" w:eastAsia="en-US"/>
            </w:rPr>
            <w:fldChar w:fldCharType="separate"/>
          </w:r>
          <w:r w:rsidR="00E4723C">
            <w:rPr>
              <w:rFonts w:ascii="Arial" w:hAnsi="Arial" w:cs="Arial"/>
              <w:noProof/>
              <w:color w:val="000000"/>
              <w:sz w:val="16"/>
              <w:szCs w:val="16"/>
              <w:lang w:val="es-ES" w:eastAsia="en-US"/>
            </w:rPr>
            <w:t>6</w:t>
          </w:r>
          <w:r w:rsidRPr="007C1F43">
            <w:rPr>
              <w:rFonts w:ascii="Arial" w:hAnsi="Arial" w:cs="Arial"/>
              <w:color w:val="000000"/>
              <w:sz w:val="16"/>
              <w:szCs w:val="16"/>
              <w:lang w:val="es-ES" w:eastAsia="en-US"/>
            </w:rPr>
            <w:fldChar w:fldCharType="end"/>
          </w:r>
        </w:p>
      </w:tc>
    </w:tr>
    <w:tr w:rsidR="007C1F43" w:rsidRPr="007C1F43" w14:paraId="5FA6D970" w14:textId="77777777" w:rsidTr="008D0C38">
      <w:trPr>
        <w:trHeight w:val="243"/>
      </w:trPr>
      <w:tc>
        <w:tcPr>
          <w:tcW w:w="4282" w:type="dxa"/>
          <w:vMerge/>
          <w:tcBorders>
            <w:top w:val="single" w:sz="4" w:space="0" w:color="auto"/>
            <w:left w:val="single" w:sz="4" w:space="0" w:color="auto"/>
            <w:bottom w:val="single" w:sz="4" w:space="0" w:color="auto"/>
            <w:right w:val="single" w:sz="4" w:space="0" w:color="auto"/>
          </w:tcBorders>
          <w:vAlign w:val="center"/>
          <w:hideMark/>
        </w:tcPr>
        <w:p w14:paraId="4B510EEB" w14:textId="77777777" w:rsidR="007C1F43" w:rsidRPr="007C1F43" w:rsidRDefault="007C1F43" w:rsidP="007C1F43">
          <w:pPr>
            <w:spacing w:line="276" w:lineRule="auto"/>
            <w:rPr>
              <w:rFonts w:ascii="Arial" w:eastAsia="DejaVu Sans" w:hAnsi="Arial" w:cs="Arial"/>
              <w:b/>
              <w:bCs/>
              <w:kern w:val="2"/>
              <w:sz w:val="18"/>
              <w:szCs w:val="16"/>
              <w:lang w:val="es-ES" w:eastAsia="en-US"/>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7FB63C56" w14:textId="77777777" w:rsidR="007C1F43" w:rsidRPr="007C1F43" w:rsidRDefault="007C1F43" w:rsidP="007C1F43">
          <w:pPr>
            <w:spacing w:line="276" w:lineRule="auto"/>
            <w:rPr>
              <w:rFonts w:ascii="Arial" w:eastAsia="DejaVu Sans" w:hAnsi="Arial" w:cs="Arial"/>
              <w:b/>
              <w:color w:val="000000"/>
              <w:kern w:val="2"/>
              <w:sz w:val="28"/>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D35AFD3" w14:textId="4141D44E" w:rsidR="007C1F43" w:rsidRPr="007C1F43" w:rsidRDefault="007C1F43">
          <w:pPr>
            <w:suppressLineNumbers/>
            <w:tabs>
              <w:tab w:val="center" w:pos="4818"/>
              <w:tab w:val="right" w:pos="9637"/>
            </w:tabs>
            <w:spacing w:line="276" w:lineRule="auto"/>
            <w:rPr>
              <w:rFonts w:ascii="Arial" w:hAnsi="Arial" w:cs="Arial"/>
              <w:color w:val="000000"/>
              <w:sz w:val="16"/>
              <w:szCs w:val="16"/>
              <w:lang w:val="es-ES" w:eastAsia="en-US"/>
            </w:rPr>
          </w:pPr>
          <w:r w:rsidRPr="007C1F43">
            <w:rPr>
              <w:rFonts w:ascii="Arial" w:hAnsi="Arial" w:cs="Arial"/>
              <w:b/>
              <w:color w:val="000000"/>
              <w:sz w:val="16"/>
              <w:szCs w:val="16"/>
              <w:lang w:val="es-ES" w:eastAsia="en-US"/>
            </w:rPr>
            <w:t>Código</w:t>
          </w:r>
          <w:r w:rsidRPr="007C1F43">
            <w:rPr>
              <w:rFonts w:ascii="Arial" w:hAnsi="Arial" w:cs="Arial"/>
              <w:color w:val="000000"/>
              <w:sz w:val="16"/>
              <w:szCs w:val="16"/>
              <w:lang w:val="es-ES" w:eastAsia="en-US"/>
            </w:rPr>
            <w:t xml:space="preserve">: </w:t>
          </w:r>
          <w:r w:rsidR="008C5B33" w:rsidRPr="008C5B33">
            <w:rPr>
              <w:rFonts w:ascii="Arial" w:hAnsi="Arial" w:cs="Arial"/>
              <w:color w:val="000000"/>
              <w:sz w:val="16"/>
              <w:szCs w:val="16"/>
              <w:lang w:val="es-ES" w:eastAsia="en-US"/>
            </w:rPr>
            <w:t>FO-JEMP</w:t>
          </w:r>
          <w:r w:rsidR="00F918FF">
            <w:rPr>
              <w:rFonts w:ascii="Arial" w:hAnsi="Arial" w:cs="Arial"/>
              <w:color w:val="000000"/>
              <w:sz w:val="16"/>
              <w:szCs w:val="16"/>
              <w:lang w:val="es-ES" w:eastAsia="en-US"/>
            </w:rPr>
            <w:t>P</w:t>
          </w:r>
          <w:r w:rsidR="008C5B33">
            <w:rPr>
              <w:rFonts w:ascii="Arial" w:hAnsi="Arial" w:cs="Arial"/>
              <w:color w:val="000000"/>
              <w:sz w:val="16"/>
              <w:szCs w:val="16"/>
              <w:lang w:val="es-ES" w:eastAsia="en-US"/>
            </w:rPr>
            <w:t>-</w:t>
          </w:r>
          <w:r w:rsidR="00F918FF">
            <w:rPr>
              <w:rFonts w:ascii="Arial" w:hAnsi="Arial" w:cs="Arial"/>
              <w:color w:val="000000"/>
              <w:sz w:val="16"/>
              <w:szCs w:val="16"/>
              <w:lang w:val="es-ES" w:eastAsia="en-US"/>
            </w:rPr>
            <w:t>DADAE</w:t>
          </w:r>
          <w:r w:rsidR="008C5B33" w:rsidRPr="008C5B33">
            <w:rPr>
              <w:rFonts w:ascii="Arial" w:hAnsi="Arial" w:cs="Arial"/>
              <w:color w:val="000000"/>
              <w:sz w:val="16"/>
              <w:szCs w:val="16"/>
              <w:lang w:val="es-ES" w:eastAsia="en-US"/>
            </w:rPr>
            <w:t>-1816</w:t>
          </w:r>
        </w:p>
      </w:tc>
    </w:tr>
    <w:tr w:rsidR="007C1F43" w:rsidRPr="007C1F43" w14:paraId="20626814" w14:textId="77777777" w:rsidTr="008D0C38">
      <w:trPr>
        <w:trHeight w:val="296"/>
      </w:trPr>
      <w:tc>
        <w:tcPr>
          <w:tcW w:w="4282" w:type="dxa"/>
          <w:vMerge/>
          <w:tcBorders>
            <w:top w:val="single" w:sz="4" w:space="0" w:color="auto"/>
            <w:left w:val="single" w:sz="4" w:space="0" w:color="auto"/>
            <w:bottom w:val="single" w:sz="4" w:space="0" w:color="auto"/>
            <w:right w:val="single" w:sz="4" w:space="0" w:color="auto"/>
          </w:tcBorders>
          <w:vAlign w:val="center"/>
          <w:hideMark/>
        </w:tcPr>
        <w:p w14:paraId="1EF088D6" w14:textId="77777777" w:rsidR="007C1F43" w:rsidRPr="007C1F43" w:rsidRDefault="007C1F43" w:rsidP="007C1F43">
          <w:pPr>
            <w:spacing w:line="276" w:lineRule="auto"/>
            <w:rPr>
              <w:rFonts w:ascii="Arial" w:eastAsia="DejaVu Sans" w:hAnsi="Arial" w:cs="Arial"/>
              <w:b/>
              <w:bCs/>
              <w:kern w:val="2"/>
              <w:sz w:val="18"/>
              <w:szCs w:val="16"/>
              <w:lang w:val="es-ES" w:eastAsia="en-US"/>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0CBE49D8" w14:textId="77777777" w:rsidR="007C1F43" w:rsidRPr="007C1F43" w:rsidRDefault="007C1F43" w:rsidP="007C1F43">
          <w:pPr>
            <w:spacing w:line="276" w:lineRule="auto"/>
            <w:rPr>
              <w:rFonts w:ascii="Arial" w:eastAsia="DejaVu Sans" w:hAnsi="Arial" w:cs="Arial"/>
              <w:b/>
              <w:color w:val="000000"/>
              <w:kern w:val="2"/>
              <w:sz w:val="28"/>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B239D9C" w14:textId="70B6419F" w:rsidR="007C1F43" w:rsidRPr="007C1F43" w:rsidRDefault="007C1F43" w:rsidP="007C1F43">
          <w:pPr>
            <w:suppressLineNumbers/>
            <w:tabs>
              <w:tab w:val="center" w:pos="4818"/>
              <w:tab w:val="right" w:pos="9637"/>
            </w:tabs>
            <w:spacing w:line="276" w:lineRule="auto"/>
            <w:rPr>
              <w:rFonts w:ascii="Arial" w:hAnsi="Arial" w:cs="Arial"/>
              <w:color w:val="000000"/>
              <w:sz w:val="16"/>
              <w:szCs w:val="16"/>
              <w:lang w:val="es-ES" w:eastAsia="en-US"/>
            </w:rPr>
          </w:pPr>
          <w:r w:rsidRPr="007C1F43">
            <w:rPr>
              <w:rFonts w:ascii="Arial" w:hAnsi="Arial" w:cs="Arial"/>
              <w:b/>
              <w:color w:val="000000"/>
              <w:sz w:val="16"/>
              <w:szCs w:val="16"/>
              <w:lang w:val="es-ES" w:eastAsia="en-US"/>
            </w:rPr>
            <w:t xml:space="preserve">Versión:  </w:t>
          </w:r>
          <w:r w:rsidR="008C5B33" w:rsidRPr="008C5B33">
            <w:rPr>
              <w:rFonts w:ascii="Arial" w:hAnsi="Arial" w:cs="Arial"/>
              <w:bCs/>
              <w:color w:val="000000"/>
              <w:sz w:val="16"/>
              <w:szCs w:val="16"/>
              <w:lang w:val="es-ES" w:eastAsia="en-US"/>
            </w:rPr>
            <w:t>0</w:t>
          </w:r>
        </w:p>
      </w:tc>
    </w:tr>
    <w:tr w:rsidR="007C1F43" w:rsidRPr="007C1F43" w14:paraId="3983BDBD" w14:textId="77777777" w:rsidTr="008D0C38">
      <w:trPr>
        <w:trHeight w:val="308"/>
      </w:trPr>
      <w:tc>
        <w:tcPr>
          <w:tcW w:w="4282" w:type="dxa"/>
          <w:vMerge/>
          <w:tcBorders>
            <w:top w:val="single" w:sz="4" w:space="0" w:color="auto"/>
            <w:left w:val="single" w:sz="4" w:space="0" w:color="auto"/>
            <w:bottom w:val="single" w:sz="4" w:space="0" w:color="auto"/>
            <w:right w:val="single" w:sz="4" w:space="0" w:color="auto"/>
          </w:tcBorders>
          <w:vAlign w:val="center"/>
          <w:hideMark/>
        </w:tcPr>
        <w:p w14:paraId="7A3F8B39" w14:textId="77777777" w:rsidR="007C1F43" w:rsidRPr="007C1F43" w:rsidRDefault="007C1F43" w:rsidP="007C1F43">
          <w:pPr>
            <w:spacing w:line="276" w:lineRule="auto"/>
            <w:rPr>
              <w:rFonts w:ascii="Arial" w:eastAsia="DejaVu Sans" w:hAnsi="Arial" w:cs="Arial"/>
              <w:b/>
              <w:bCs/>
              <w:kern w:val="2"/>
              <w:sz w:val="18"/>
              <w:szCs w:val="16"/>
              <w:lang w:val="es-ES" w:eastAsia="en-US"/>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72CD003E" w14:textId="77777777" w:rsidR="007C1F43" w:rsidRPr="007C1F43" w:rsidRDefault="007C1F43" w:rsidP="007C1F43">
          <w:pPr>
            <w:spacing w:line="276" w:lineRule="auto"/>
            <w:rPr>
              <w:rFonts w:ascii="Arial" w:eastAsia="DejaVu Sans" w:hAnsi="Arial" w:cs="Arial"/>
              <w:b/>
              <w:color w:val="000000"/>
              <w:kern w:val="2"/>
              <w:sz w:val="28"/>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D8F3226" w14:textId="081E2C4C" w:rsidR="007C1F43" w:rsidRPr="007C1F43" w:rsidRDefault="007C1F43" w:rsidP="007C1F43">
          <w:pPr>
            <w:suppressLineNumbers/>
            <w:tabs>
              <w:tab w:val="center" w:pos="4818"/>
              <w:tab w:val="right" w:pos="9637"/>
            </w:tabs>
            <w:spacing w:line="276" w:lineRule="auto"/>
            <w:rPr>
              <w:rFonts w:ascii="Arial" w:hAnsi="Arial" w:cs="Arial"/>
              <w:color w:val="000000"/>
              <w:sz w:val="16"/>
              <w:szCs w:val="16"/>
              <w:lang w:val="es-ES" w:eastAsia="en-US"/>
            </w:rPr>
          </w:pPr>
          <w:r w:rsidRPr="007C1F43">
            <w:rPr>
              <w:rFonts w:ascii="Arial" w:hAnsi="Arial" w:cs="Arial"/>
              <w:b/>
              <w:color w:val="000000"/>
              <w:sz w:val="16"/>
              <w:szCs w:val="16"/>
              <w:lang w:val="es-ES" w:eastAsia="en-US"/>
            </w:rPr>
            <w:t xml:space="preserve">Fecha de emisión: </w:t>
          </w:r>
          <w:r w:rsidR="008C5B33" w:rsidRPr="008C5B33">
            <w:rPr>
              <w:rFonts w:ascii="Arial" w:hAnsi="Arial" w:cs="Arial"/>
              <w:bCs/>
              <w:color w:val="000000"/>
              <w:sz w:val="16"/>
              <w:szCs w:val="16"/>
              <w:lang w:val="es-ES" w:eastAsia="en-US"/>
            </w:rPr>
            <w:t>2022-10-12</w:t>
          </w:r>
        </w:p>
      </w:tc>
    </w:tr>
  </w:tbl>
  <w:p w14:paraId="0E12BEA6" w14:textId="77777777" w:rsidR="009432C7" w:rsidRDefault="00491D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 w15:restartNumberingAfterBreak="0">
    <w:nsid w:val="2C991DF5"/>
    <w:multiLevelType w:val="hybridMultilevel"/>
    <w:tmpl w:val="C610E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E0C5E70"/>
    <w:multiLevelType w:val="hybridMultilevel"/>
    <w:tmpl w:val="29E8EF42"/>
    <w:lvl w:ilvl="0" w:tplc="676AAAFC">
      <w:start w:val="1"/>
      <w:numFmt w:val="decimal"/>
      <w:lvlText w:val="%1."/>
      <w:lvlJc w:val="left"/>
      <w:pPr>
        <w:ind w:left="720" w:hanging="360"/>
      </w:pPr>
      <w:rPr>
        <w:i w:val="0"/>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AF7837"/>
    <w:multiLevelType w:val="hybridMultilevel"/>
    <w:tmpl w:val="6EB821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528009D"/>
    <w:multiLevelType w:val="hybridMultilevel"/>
    <w:tmpl w:val="4D4CBAFA"/>
    <w:lvl w:ilvl="0" w:tplc="DC7E597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F6764EB"/>
    <w:multiLevelType w:val="hybridMultilevel"/>
    <w:tmpl w:val="1856E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54"/>
    <w:rsid w:val="00020AF3"/>
    <w:rsid w:val="000B1579"/>
    <w:rsid w:val="000C355D"/>
    <w:rsid w:val="00133E84"/>
    <w:rsid w:val="001F3A29"/>
    <w:rsid w:val="00314484"/>
    <w:rsid w:val="003B2641"/>
    <w:rsid w:val="00475CAD"/>
    <w:rsid w:val="00491D07"/>
    <w:rsid w:val="004B4664"/>
    <w:rsid w:val="004C290A"/>
    <w:rsid w:val="004E55EF"/>
    <w:rsid w:val="00502DE8"/>
    <w:rsid w:val="00581176"/>
    <w:rsid w:val="005B4014"/>
    <w:rsid w:val="005D116E"/>
    <w:rsid w:val="006061DB"/>
    <w:rsid w:val="006274A1"/>
    <w:rsid w:val="006F464E"/>
    <w:rsid w:val="00701BBD"/>
    <w:rsid w:val="00750D7E"/>
    <w:rsid w:val="007634FD"/>
    <w:rsid w:val="00785C54"/>
    <w:rsid w:val="007A796D"/>
    <w:rsid w:val="007C1F43"/>
    <w:rsid w:val="007D0F6F"/>
    <w:rsid w:val="008A0CC8"/>
    <w:rsid w:val="008C5B33"/>
    <w:rsid w:val="00905180"/>
    <w:rsid w:val="00997188"/>
    <w:rsid w:val="009A3789"/>
    <w:rsid w:val="009C64F1"/>
    <w:rsid w:val="009F29A9"/>
    <w:rsid w:val="00A57102"/>
    <w:rsid w:val="00AA69FD"/>
    <w:rsid w:val="00AB7439"/>
    <w:rsid w:val="00AE74A6"/>
    <w:rsid w:val="00AF6338"/>
    <w:rsid w:val="00B42BB6"/>
    <w:rsid w:val="00B43382"/>
    <w:rsid w:val="00B456E7"/>
    <w:rsid w:val="00B634B4"/>
    <w:rsid w:val="00B647CE"/>
    <w:rsid w:val="00BE213C"/>
    <w:rsid w:val="00CE0D2E"/>
    <w:rsid w:val="00CE1284"/>
    <w:rsid w:val="00CE5AB4"/>
    <w:rsid w:val="00CF1103"/>
    <w:rsid w:val="00CF2784"/>
    <w:rsid w:val="00D60571"/>
    <w:rsid w:val="00D65DF5"/>
    <w:rsid w:val="00DE468A"/>
    <w:rsid w:val="00DF3906"/>
    <w:rsid w:val="00E37BA6"/>
    <w:rsid w:val="00E4723C"/>
    <w:rsid w:val="00EC507B"/>
    <w:rsid w:val="00F06873"/>
    <w:rsid w:val="00F0702D"/>
    <w:rsid w:val="00F45167"/>
    <w:rsid w:val="00F918FF"/>
    <w:rsid w:val="00FC71AE"/>
    <w:rsid w:val="00FC7A67"/>
    <w:rsid w:val="00FE77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6F63E"/>
  <w15:chartTrackingRefBased/>
  <w15:docId w15:val="{70C6D614-D190-495D-8CF9-DB288986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54"/>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 Car,Footnote Text Char,Footnote Text Char Char Char Char Char Char Char Char,Footnote Text Cha,FA Fußnotentext"/>
    <w:basedOn w:val="Normal"/>
    <w:link w:val="TextonotapieCar"/>
    <w:unhideWhenUsed/>
    <w:qFormat/>
    <w:rsid w:val="00785C5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Footnote Text Char Car,Footnote Text Char Char Char Char Char Char Char Char Car"/>
    <w:basedOn w:val="Fuentedeprrafopredeter"/>
    <w:link w:val="Textonotapie"/>
    <w:rsid w:val="00785C54"/>
    <w:rPr>
      <w:rFonts w:ascii="Times New Roman" w:eastAsia="Times New Roman" w:hAnsi="Times New Roman" w:cs="Times New Roman"/>
      <w:sz w:val="20"/>
      <w:szCs w:val="20"/>
      <w:lang w:eastAsia="es-CO"/>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s refss,f,f1"/>
    <w:uiPriority w:val="99"/>
    <w:unhideWhenUsed/>
    <w:qFormat/>
    <w:rsid w:val="00785C54"/>
    <w:rPr>
      <w:vertAlign w:val="superscript"/>
    </w:rPr>
  </w:style>
  <w:style w:type="paragraph" w:styleId="Textoindependiente">
    <w:name w:val="Body Text"/>
    <w:basedOn w:val="Normal"/>
    <w:link w:val="TextoindependienteCar"/>
    <w:uiPriority w:val="99"/>
    <w:unhideWhenUsed/>
    <w:rsid w:val="00785C54"/>
    <w:pPr>
      <w:spacing w:after="120"/>
    </w:pPr>
  </w:style>
  <w:style w:type="character" w:customStyle="1" w:styleId="TextoindependienteCar">
    <w:name w:val="Texto independiente Car"/>
    <w:basedOn w:val="Fuentedeprrafopredeter"/>
    <w:link w:val="Textoindependiente"/>
    <w:uiPriority w:val="99"/>
    <w:rsid w:val="00785C54"/>
    <w:rPr>
      <w:rFonts w:ascii="Times New Roman" w:eastAsia="Times New Roman" w:hAnsi="Times New Roman" w:cs="Times New Roman"/>
      <w:sz w:val="24"/>
      <w:szCs w:val="24"/>
      <w:lang w:eastAsia="es-CO"/>
    </w:rPr>
  </w:style>
  <w:style w:type="paragraph" w:styleId="Prrafodelista">
    <w:name w:val="List Paragraph"/>
    <w:aliases w:val="Bullet List,FooterText,numbered,List Paragraph1,Paragraphe de liste1,lp1,List Paragraph,Scitum normal,Párrafo de lista11,Cuadrícula media 1 - Énfasis 21,List Paragraph11,Bulletr List Paragraph,列出段落,列出段落1"/>
    <w:basedOn w:val="Normal"/>
    <w:link w:val="PrrafodelistaCar"/>
    <w:uiPriority w:val="34"/>
    <w:qFormat/>
    <w:rsid w:val="00785C54"/>
    <w:pPr>
      <w:ind w:left="720"/>
      <w:contextualSpacing/>
    </w:pPr>
  </w:style>
  <w:style w:type="character" w:customStyle="1" w:styleId="PrrafodelistaCar">
    <w:name w:val="Párrafo de lista Car"/>
    <w:aliases w:val="Bullet List Car,FooterText Car,numbered Car,List Paragraph1 Car,Paragraphe de liste1 Car,lp1 Car,List Paragraph Car,Scitum normal Car,Párrafo de lista11 Car,Cuadrícula media 1 - Énfasis 21 Car,List Paragraph11 Car,列出段落 Car,列出段落1 Car"/>
    <w:link w:val="Prrafodelista"/>
    <w:uiPriority w:val="34"/>
    <w:locked/>
    <w:rsid w:val="00785C54"/>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785C54"/>
    <w:pPr>
      <w:spacing w:after="0"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rsid w:val="00785C54"/>
    <w:rPr>
      <w:rFonts w:ascii="Times New Roman" w:eastAsia="Times New Roman" w:hAnsi="Times New Roman" w:cs="Times New Roman"/>
      <w:sz w:val="24"/>
      <w:szCs w:val="24"/>
      <w:lang w:eastAsia="es-CO"/>
    </w:rPr>
  </w:style>
  <w:style w:type="paragraph" w:styleId="Ttulo">
    <w:name w:val="Title"/>
    <w:aliases w:val=" Car"/>
    <w:basedOn w:val="Normal"/>
    <w:link w:val="TtuloCar1"/>
    <w:qFormat/>
    <w:rsid w:val="00785C54"/>
    <w:pPr>
      <w:jc w:val="center"/>
    </w:pPr>
    <w:rPr>
      <w:sz w:val="28"/>
      <w:szCs w:val="20"/>
      <w:lang w:val="es-ES_tradnl" w:eastAsia="es-ES"/>
    </w:rPr>
  </w:style>
  <w:style w:type="character" w:customStyle="1" w:styleId="TtuloCar1">
    <w:name w:val="Título Car1"/>
    <w:aliases w:val=" Car Car"/>
    <w:basedOn w:val="Fuentedeprrafopredeter"/>
    <w:link w:val="Ttulo"/>
    <w:rsid w:val="00785C54"/>
    <w:rPr>
      <w:rFonts w:ascii="Times New Roman" w:eastAsia="Times New Roman" w:hAnsi="Times New Roman" w:cs="Times New Roman"/>
      <w:sz w:val="28"/>
      <w:szCs w:val="20"/>
      <w:lang w:val="es-ES_tradnl" w:eastAsia="es-ES"/>
    </w:rPr>
  </w:style>
  <w:style w:type="paragraph" w:styleId="Encabezado">
    <w:name w:val="header"/>
    <w:basedOn w:val="Normal"/>
    <w:link w:val="EncabezadoCar"/>
    <w:uiPriority w:val="99"/>
    <w:unhideWhenUsed/>
    <w:rsid w:val="00785C54"/>
    <w:pPr>
      <w:tabs>
        <w:tab w:val="center" w:pos="4419"/>
        <w:tab w:val="right" w:pos="8838"/>
      </w:tabs>
    </w:pPr>
  </w:style>
  <w:style w:type="character" w:customStyle="1" w:styleId="EncabezadoCar">
    <w:name w:val="Encabezado Car"/>
    <w:basedOn w:val="Fuentedeprrafopredeter"/>
    <w:link w:val="Encabezado"/>
    <w:uiPriority w:val="99"/>
    <w:rsid w:val="00785C54"/>
    <w:rPr>
      <w:rFonts w:ascii="Times New Roman" w:eastAsia="Times New Roman" w:hAnsi="Times New Roman" w:cs="Times New Roman"/>
      <w:sz w:val="24"/>
      <w:szCs w:val="24"/>
      <w:lang w:eastAsia="es-CO"/>
    </w:rPr>
  </w:style>
  <w:style w:type="paragraph" w:styleId="NormalWeb">
    <w:name w:val="Normal (Web)"/>
    <w:aliases w:val="Normal (Web) Car Car"/>
    <w:basedOn w:val="Normal"/>
    <w:unhideWhenUsed/>
    <w:rsid w:val="00785C54"/>
    <w:pPr>
      <w:spacing w:before="100" w:beforeAutospacing="1" w:after="100" w:afterAutospacing="1"/>
    </w:pPr>
  </w:style>
  <w:style w:type="paragraph" w:styleId="Piedepgina">
    <w:name w:val="footer"/>
    <w:basedOn w:val="Normal"/>
    <w:link w:val="PiedepginaCar"/>
    <w:unhideWhenUsed/>
    <w:rsid w:val="007C1F43"/>
    <w:pPr>
      <w:tabs>
        <w:tab w:val="center" w:pos="4419"/>
        <w:tab w:val="right" w:pos="8838"/>
      </w:tabs>
    </w:pPr>
  </w:style>
  <w:style w:type="character" w:customStyle="1" w:styleId="PiedepginaCar">
    <w:name w:val="Pie de página Car"/>
    <w:basedOn w:val="Fuentedeprrafopredeter"/>
    <w:link w:val="Piedepgina"/>
    <w:rsid w:val="007C1F43"/>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EC507B"/>
    <w:rPr>
      <w:color w:val="0000FF"/>
      <w:u w:val="single"/>
    </w:rPr>
  </w:style>
  <w:style w:type="character" w:customStyle="1" w:styleId="TtuloCar">
    <w:name w:val="Título Car"/>
    <w:rsid w:val="00750D7E"/>
    <w:rPr>
      <w:sz w:val="28"/>
      <w:lang w:val="es-ES_tradnl" w:eastAsia="es-ES"/>
    </w:rPr>
  </w:style>
  <w:style w:type="paragraph" w:styleId="Textodeglobo">
    <w:name w:val="Balloon Text"/>
    <w:basedOn w:val="Normal"/>
    <w:link w:val="TextodegloboCar"/>
    <w:uiPriority w:val="99"/>
    <w:semiHidden/>
    <w:unhideWhenUsed/>
    <w:rsid w:val="00AE74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4A6"/>
    <w:rPr>
      <w:rFonts w:ascii="Segoe UI" w:eastAsia="Times New Roman" w:hAnsi="Segoe UI" w:cs="Segoe UI"/>
      <w:sz w:val="18"/>
      <w:szCs w:val="18"/>
      <w:lang w:eastAsia="es-CO"/>
    </w:rPr>
  </w:style>
  <w:style w:type="character" w:customStyle="1" w:styleId="span">
    <w:name w:val="span"/>
    <w:basedOn w:val="Fuentedeprrafopredeter"/>
    <w:rsid w:val="00E4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1564_2012_pr011.html" TargetMode="External"/><Relationship Id="rId1" Type="http://schemas.openxmlformats.org/officeDocument/2006/relationships/hyperlink" Target="http://www.secretariasenado.gov.co/senado/basedoc/ley_1564_2012_pr01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CEC4-4E27-4CD1-AC6A-AC46FEF8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1440</Words>
  <Characters>7920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LADY SOLANYULY RODRIGUEZ PEÑA</dc:creator>
  <cp:keywords/>
  <dc:description/>
  <cp:lastModifiedBy>PD01.Lina Marcela Alape Rayo</cp:lastModifiedBy>
  <cp:revision>17</cp:revision>
  <dcterms:created xsi:type="dcterms:W3CDTF">2025-11-14T18:42:00Z</dcterms:created>
  <dcterms:modified xsi:type="dcterms:W3CDTF">2026-02-11T20:40:00Z</dcterms:modified>
</cp:coreProperties>
</file>