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6C57C" w14:textId="59BFEE7D" w:rsidR="006554F2" w:rsidRPr="006554F2" w:rsidRDefault="006554F2" w:rsidP="00FA7C76">
      <w:pPr>
        <w:ind w:left="-142" w:right="-234"/>
        <w:jc w:val="center"/>
        <w:rPr>
          <w:rFonts w:ascii="Arial" w:hAnsi="Arial" w:cs="Arial"/>
          <w:b/>
          <w:color w:val="BFBFBF"/>
          <w:sz w:val="26"/>
          <w:szCs w:val="26"/>
          <w:u w:val="single"/>
        </w:rPr>
      </w:pPr>
      <w:r w:rsidRPr="006554F2">
        <w:rPr>
          <w:rFonts w:ascii="Arial" w:hAnsi="Arial" w:cs="Arial"/>
          <w:b/>
          <w:color w:val="BFBFBF"/>
          <w:sz w:val="26"/>
          <w:szCs w:val="26"/>
          <w:u w:val="single"/>
        </w:rPr>
        <w:t>NOMBRE UNIDAD/DEPENDENCIA AUTORIDAD ADMINISTRATIVA COMPETENTE</w:t>
      </w:r>
    </w:p>
    <w:p w14:paraId="30B25FBA" w14:textId="77777777" w:rsidR="0021429E" w:rsidRDefault="0021429E" w:rsidP="00FA7C76">
      <w:pPr>
        <w:spacing w:line="360" w:lineRule="auto"/>
        <w:ind w:left="-142" w:right="-234"/>
        <w:rPr>
          <w:rFonts w:ascii="Arial" w:eastAsia="SimSun" w:hAnsi="Arial" w:cs="Arial"/>
          <w:b/>
          <w:color w:val="BFBFBF" w:themeColor="background1" w:themeShade="BF"/>
        </w:rPr>
      </w:pPr>
    </w:p>
    <w:p w14:paraId="460F2901" w14:textId="77777777" w:rsidR="0021429E" w:rsidRDefault="0021429E" w:rsidP="00FA7C76">
      <w:pPr>
        <w:spacing w:line="360" w:lineRule="auto"/>
        <w:ind w:left="-142" w:right="-234"/>
        <w:rPr>
          <w:rFonts w:ascii="Arial" w:eastAsia="SimSun" w:hAnsi="Arial" w:cs="Arial"/>
          <w:b/>
          <w:color w:val="BFBFBF" w:themeColor="background1" w:themeShade="BF"/>
        </w:rPr>
      </w:pPr>
    </w:p>
    <w:p w14:paraId="4EA4DB50" w14:textId="77777777" w:rsidR="0021429E" w:rsidRPr="0021429E" w:rsidRDefault="0021429E" w:rsidP="00FA7C76">
      <w:pPr>
        <w:spacing w:line="360" w:lineRule="auto"/>
        <w:ind w:left="-142" w:right="-234"/>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bookmarkStart w:id="0" w:name="_GoBack"/>
      <w:bookmarkEnd w:id="0"/>
    </w:p>
    <w:p w14:paraId="257E5EA3" w14:textId="77777777" w:rsidR="0021429E" w:rsidRDefault="0021429E" w:rsidP="00FA7C76">
      <w:pPr>
        <w:pStyle w:val="Ttulo"/>
        <w:spacing w:line="360" w:lineRule="auto"/>
        <w:ind w:left="-142" w:right="-234"/>
        <w:jc w:val="left"/>
        <w:rPr>
          <w:rFonts w:ascii="Arial" w:hAnsi="Arial" w:cs="Arial"/>
          <w:b/>
          <w:sz w:val="26"/>
          <w:szCs w:val="26"/>
          <w:u w:val="single"/>
        </w:rPr>
      </w:pPr>
    </w:p>
    <w:p w14:paraId="7C014D22" w14:textId="77777777" w:rsidR="0021429E" w:rsidRDefault="0021429E" w:rsidP="00FA7C76">
      <w:pPr>
        <w:pStyle w:val="Ttulo"/>
        <w:spacing w:line="360" w:lineRule="auto"/>
        <w:ind w:left="-142" w:right="-234"/>
        <w:jc w:val="left"/>
        <w:rPr>
          <w:rFonts w:ascii="Arial" w:hAnsi="Arial" w:cs="Arial"/>
          <w:b/>
          <w:sz w:val="26"/>
          <w:szCs w:val="26"/>
          <w:u w:val="single"/>
        </w:rPr>
      </w:pPr>
    </w:p>
    <w:p w14:paraId="58F8FAD9" w14:textId="77777777" w:rsidR="00863BC4" w:rsidRPr="00AC091D" w:rsidRDefault="00863BC4" w:rsidP="00FA7C76">
      <w:pPr>
        <w:pStyle w:val="Ttulo"/>
        <w:spacing w:line="360" w:lineRule="auto"/>
        <w:ind w:left="-142" w:right="-234"/>
        <w:rPr>
          <w:rFonts w:ascii="Arial" w:hAnsi="Arial" w:cs="Arial"/>
          <w:b/>
          <w:sz w:val="26"/>
          <w:szCs w:val="26"/>
          <w:u w:val="single"/>
        </w:rPr>
      </w:pPr>
      <w:r w:rsidRPr="00AC091D">
        <w:rPr>
          <w:rFonts w:ascii="Arial" w:hAnsi="Arial" w:cs="Arial"/>
          <w:b/>
          <w:sz w:val="26"/>
          <w:szCs w:val="26"/>
          <w:u w:val="single"/>
        </w:rPr>
        <w:t>OBJETO A DECIDIR</w:t>
      </w:r>
    </w:p>
    <w:p w14:paraId="62BC4D71" w14:textId="77777777" w:rsidR="00863BC4" w:rsidRPr="0058013F" w:rsidRDefault="00863BC4" w:rsidP="00FA7C76">
      <w:pPr>
        <w:spacing w:line="360" w:lineRule="auto"/>
        <w:ind w:left="-142" w:right="-234"/>
        <w:rPr>
          <w:rFonts w:ascii="Arial" w:hAnsi="Arial" w:cs="Arial"/>
        </w:rPr>
      </w:pPr>
    </w:p>
    <w:p w14:paraId="6CF3D67E" w14:textId="4C2489FD" w:rsidR="00ED0219" w:rsidRDefault="00ED0219" w:rsidP="00FA7C76">
      <w:pPr>
        <w:pStyle w:val="Sangradetextonormal"/>
        <w:spacing w:line="360" w:lineRule="auto"/>
        <w:ind w:left="-142" w:right="-234" w:firstLine="0"/>
        <w:rPr>
          <w:rFonts w:cs="Arial"/>
          <w:color w:val="BFBFBF" w:themeColor="background1" w:themeShade="BF"/>
          <w:sz w:val="24"/>
          <w:szCs w:val="24"/>
        </w:rPr>
      </w:pPr>
      <w:r w:rsidRPr="00ED0219">
        <w:rPr>
          <w:rFonts w:cs="Arial"/>
          <w:sz w:val="24"/>
          <w:szCs w:val="24"/>
        </w:rPr>
        <w:t xml:space="preserve">Al Despacho del suscrito </w:t>
      </w:r>
      <w:r>
        <w:rPr>
          <w:rFonts w:cs="Arial"/>
          <w:color w:val="BFBFBF" w:themeColor="background1" w:themeShade="BF"/>
          <w:sz w:val="24"/>
          <w:szCs w:val="24"/>
        </w:rPr>
        <w:t>(se relaciona grado, nombre de la autoridad</w:t>
      </w:r>
      <w:r w:rsidR="002E380C">
        <w:rPr>
          <w:rFonts w:cs="Arial"/>
          <w:color w:val="BFBFBF" w:themeColor="background1" w:themeShade="BF"/>
          <w:sz w:val="24"/>
          <w:szCs w:val="24"/>
        </w:rPr>
        <w:t xml:space="preserve"> administrativa</w:t>
      </w:r>
      <w:r>
        <w:rPr>
          <w:rFonts w:cs="Arial"/>
          <w:color w:val="BFBFBF" w:themeColor="background1" w:themeShade="BF"/>
          <w:sz w:val="24"/>
          <w:szCs w:val="24"/>
        </w:rPr>
        <w:t>)</w:t>
      </w:r>
      <w:r w:rsidR="00A5178D">
        <w:rPr>
          <w:rFonts w:cs="Arial"/>
          <w:color w:val="BFBFBF" w:themeColor="background1" w:themeShade="BF"/>
          <w:sz w:val="24"/>
          <w:szCs w:val="24"/>
        </w:rPr>
        <w:t xml:space="preserve"> </w:t>
      </w:r>
      <w:r w:rsidR="00A5178D" w:rsidRPr="007A6534">
        <w:rPr>
          <w:rFonts w:cs="Arial"/>
          <w:sz w:val="24"/>
          <w:szCs w:val="24"/>
        </w:rPr>
        <w:t xml:space="preserve">se </w:t>
      </w:r>
      <w:r w:rsidR="007A6534" w:rsidRPr="007A6534">
        <w:rPr>
          <w:rFonts w:cs="Arial"/>
          <w:sz w:val="24"/>
          <w:szCs w:val="24"/>
        </w:rPr>
        <w:t>allega</w:t>
      </w:r>
      <w:r>
        <w:rPr>
          <w:rFonts w:cs="Arial"/>
          <w:color w:val="BFBFBF" w:themeColor="background1" w:themeShade="BF"/>
          <w:sz w:val="24"/>
          <w:szCs w:val="24"/>
        </w:rPr>
        <w:t xml:space="preserve"> </w:t>
      </w:r>
      <w:r w:rsidRPr="00ED0219">
        <w:rPr>
          <w:rFonts w:cs="Arial"/>
          <w:sz w:val="24"/>
          <w:szCs w:val="24"/>
        </w:rPr>
        <w:t xml:space="preserve">la </w:t>
      </w:r>
      <w:r w:rsidR="00EB0EA3">
        <w:rPr>
          <w:rFonts w:cs="Arial"/>
          <w:sz w:val="24"/>
          <w:szCs w:val="24"/>
        </w:rPr>
        <w:t xml:space="preserve">investigación administrativa </w:t>
      </w:r>
      <w:r w:rsidR="00CE61F4">
        <w:rPr>
          <w:rFonts w:cs="Arial"/>
          <w:sz w:val="24"/>
          <w:szCs w:val="24"/>
        </w:rPr>
        <w:t xml:space="preserve"> con radicado único SIDAE N°</w:t>
      </w:r>
      <w:r w:rsidRPr="00ED0219">
        <w:rPr>
          <w:rFonts w:cs="Arial"/>
          <w:sz w:val="24"/>
          <w:szCs w:val="24"/>
        </w:rPr>
        <w:t xml:space="preserve"> </w:t>
      </w:r>
      <w:r>
        <w:rPr>
          <w:rFonts w:cs="Arial"/>
          <w:color w:val="BFBFBF" w:themeColor="background1" w:themeShade="BF"/>
          <w:sz w:val="24"/>
          <w:szCs w:val="24"/>
        </w:rPr>
        <w:t>(</w:t>
      </w:r>
      <w:r w:rsidR="00EB0EA3">
        <w:rPr>
          <w:rFonts w:cs="Arial"/>
          <w:color w:val="BFBFBF" w:themeColor="background1" w:themeShade="BF"/>
          <w:sz w:val="24"/>
          <w:szCs w:val="24"/>
        </w:rPr>
        <w:t xml:space="preserve">relacionar la modalidad de la actuación </w:t>
      </w:r>
      <w:r w:rsidR="002E380C">
        <w:rPr>
          <w:rFonts w:cs="Arial"/>
          <w:color w:val="BFBFBF" w:themeColor="background1" w:themeShade="BF"/>
          <w:sz w:val="24"/>
          <w:szCs w:val="24"/>
        </w:rPr>
        <w:t>-</w:t>
      </w:r>
      <w:r w:rsidR="00EB0EA3">
        <w:rPr>
          <w:rFonts w:cs="Arial"/>
          <w:color w:val="BFBFBF" w:themeColor="background1" w:themeShade="BF"/>
          <w:sz w:val="24"/>
          <w:szCs w:val="24"/>
        </w:rPr>
        <w:t>averiguación previa, proceso abrevia</w:t>
      </w:r>
      <w:r w:rsidR="002E380C">
        <w:rPr>
          <w:rFonts w:cs="Arial"/>
          <w:color w:val="BFBFBF" w:themeColor="background1" w:themeShade="BF"/>
          <w:sz w:val="24"/>
          <w:szCs w:val="24"/>
        </w:rPr>
        <w:t>do</w:t>
      </w:r>
      <w:r w:rsidR="00EB0EA3">
        <w:rPr>
          <w:rFonts w:cs="Arial"/>
          <w:color w:val="BFBFBF" w:themeColor="background1" w:themeShade="BF"/>
          <w:sz w:val="24"/>
          <w:szCs w:val="24"/>
        </w:rPr>
        <w:t xml:space="preserve"> y/o proceso ordinario</w:t>
      </w:r>
      <w:r>
        <w:rPr>
          <w:rFonts w:cs="Arial"/>
          <w:color w:val="BFBFBF" w:themeColor="background1" w:themeShade="BF"/>
          <w:sz w:val="24"/>
          <w:szCs w:val="24"/>
        </w:rPr>
        <w:t xml:space="preserve">) </w:t>
      </w:r>
      <w:r w:rsidRPr="00ED0219">
        <w:rPr>
          <w:rFonts w:cs="Arial"/>
          <w:sz w:val="24"/>
          <w:szCs w:val="24"/>
        </w:rPr>
        <w:t xml:space="preserve">adelantada en contra de </w:t>
      </w:r>
      <w:r>
        <w:rPr>
          <w:rFonts w:cs="Arial"/>
          <w:color w:val="BFBFBF" w:themeColor="background1" w:themeShade="BF"/>
          <w:sz w:val="24"/>
          <w:szCs w:val="24"/>
        </w:rPr>
        <w:t>(se relaciona el grado, nombre y número de cedula del investigado(s) si lo(s)</w:t>
      </w:r>
      <w:r w:rsidR="007A6534">
        <w:rPr>
          <w:rFonts w:cs="Arial"/>
          <w:color w:val="BFBFBF" w:themeColor="background1" w:themeShade="BF"/>
          <w:sz w:val="24"/>
          <w:szCs w:val="24"/>
        </w:rPr>
        <w:t xml:space="preserve"> hubiese; </w:t>
      </w:r>
      <w:r>
        <w:rPr>
          <w:rFonts w:cs="Arial"/>
          <w:color w:val="BFBFBF" w:themeColor="background1" w:themeShade="BF"/>
          <w:sz w:val="24"/>
          <w:szCs w:val="24"/>
        </w:rPr>
        <w:t xml:space="preserve">en caso contrario, se menciona que se adelanta en averiguación de responsables) </w:t>
      </w:r>
      <w:r w:rsidR="002817B1" w:rsidRPr="002817B1">
        <w:rPr>
          <w:rFonts w:cs="Arial"/>
          <w:sz w:val="24"/>
          <w:szCs w:val="24"/>
        </w:rPr>
        <w:t xml:space="preserve">con ocasión a </w:t>
      </w:r>
      <w:r w:rsidR="002817B1">
        <w:rPr>
          <w:rFonts w:cs="Arial"/>
          <w:color w:val="BFBFBF" w:themeColor="background1" w:themeShade="BF"/>
          <w:sz w:val="24"/>
          <w:szCs w:val="24"/>
        </w:rPr>
        <w:t xml:space="preserve">(se </w:t>
      </w:r>
      <w:r w:rsidR="007A6534">
        <w:rPr>
          <w:rFonts w:cs="Arial"/>
          <w:color w:val="BFBFBF" w:themeColor="background1" w:themeShade="BF"/>
          <w:sz w:val="24"/>
          <w:szCs w:val="24"/>
        </w:rPr>
        <w:t xml:space="preserve">indica de manera sucinta </w:t>
      </w:r>
      <w:r w:rsidR="002817B1">
        <w:rPr>
          <w:rFonts w:cs="Arial"/>
          <w:color w:val="BFBFBF" w:themeColor="background1" w:themeShade="BF"/>
          <w:sz w:val="24"/>
          <w:szCs w:val="24"/>
        </w:rPr>
        <w:t>los hechos de materia de investigación</w:t>
      </w:r>
      <w:r w:rsidR="002E380C">
        <w:rPr>
          <w:rFonts w:cs="Arial"/>
          <w:color w:val="BFBFBF" w:themeColor="background1" w:themeShade="BF"/>
          <w:sz w:val="24"/>
          <w:szCs w:val="24"/>
        </w:rPr>
        <w:t xml:space="preserve"> administrativa</w:t>
      </w:r>
      <w:r w:rsidR="002817B1">
        <w:rPr>
          <w:rFonts w:cs="Arial"/>
          <w:color w:val="BFBFBF" w:themeColor="background1" w:themeShade="BF"/>
          <w:sz w:val="24"/>
          <w:szCs w:val="24"/>
        </w:rPr>
        <w:t xml:space="preserve">); </w:t>
      </w:r>
      <w:r w:rsidR="002817B1" w:rsidRPr="002817B1">
        <w:rPr>
          <w:rFonts w:cs="Arial"/>
          <w:sz w:val="24"/>
          <w:szCs w:val="24"/>
        </w:rPr>
        <w:t xml:space="preserve">lo anterior, con el fin </w:t>
      </w:r>
      <w:r w:rsidR="007A6534">
        <w:rPr>
          <w:rFonts w:cs="Arial"/>
          <w:sz w:val="24"/>
          <w:szCs w:val="24"/>
        </w:rPr>
        <w:t xml:space="preserve">de determinar </w:t>
      </w:r>
      <w:r w:rsidR="002817B1" w:rsidRPr="002817B1">
        <w:rPr>
          <w:rFonts w:cs="Arial"/>
          <w:sz w:val="24"/>
          <w:szCs w:val="24"/>
        </w:rPr>
        <w:t>si es procedente</w:t>
      </w:r>
      <w:r w:rsidR="002817B1">
        <w:rPr>
          <w:rFonts w:cs="Arial"/>
          <w:sz w:val="24"/>
          <w:szCs w:val="24"/>
        </w:rPr>
        <w:t xml:space="preserve"> </w:t>
      </w:r>
      <w:r w:rsidR="002817B1" w:rsidRPr="002817B1">
        <w:rPr>
          <w:rFonts w:cs="Arial"/>
          <w:b/>
          <w:sz w:val="24"/>
          <w:szCs w:val="24"/>
        </w:rPr>
        <w:t>AVOCAR</w:t>
      </w:r>
      <w:r w:rsidR="002817B1">
        <w:rPr>
          <w:rFonts w:cs="Arial"/>
          <w:sz w:val="24"/>
          <w:szCs w:val="24"/>
        </w:rPr>
        <w:t xml:space="preserve"> el conocimiento de dichos hechos, </w:t>
      </w:r>
      <w:r w:rsidR="0040122E">
        <w:rPr>
          <w:rFonts w:cs="Arial"/>
          <w:sz w:val="24"/>
          <w:szCs w:val="24"/>
        </w:rPr>
        <w:t xml:space="preserve">de conformidad con </w:t>
      </w:r>
      <w:r w:rsidR="002817B1">
        <w:rPr>
          <w:rFonts w:cs="Arial"/>
          <w:sz w:val="24"/>
          <w:szCs w:val="24"/>
        </w:rPr>
        <w:t>lo establecido en el artículo</w:t>
      </w:r>
      <w:r w:rsidR="0040122E">
        <w:rPr>
          <w:rFonts w:cs="Arial"/>
          <w:sz w:val="24"/>
          <w:szCs w:val="24"/>
        </w:rPr>
        <w:t xml:space="preserve"> </w:t>
      </w:r>
      <w:r w:rsidR="002E380C">
        <w:rPr>
          <w:rFonts w:cs="Arial"/>
          <w:sz w:val="24"/>
          <w:szCs w:val="24"/>
        </w:rPr>
        <w:t>5</w:t>
      </w:r>
      <w:r w:rsidR="003E23E8">
        <w:rPr>
          <w:rStyle w:val="Refdenotaalpie"/>
          <w:rFonts w:cs="Arial"/>
          <w:sz w:val="24"/>
          <w:szCs w:val="24"/>
        </w:rPr>
        <w:footnoteReference w:id="1"/>
      </w:r>
      <w:r w:rsidR="002E380C">
        <w:rPr>
          <w:rFonts w:cs="Arial"/>
          <w:sz w:val="24"/>
          <w:szCs w:val="24"/>
        </w:rPr>
        <w:t>, 21</w:t>
      </w:r>
      <w:r w:rsidR="003E23E8">
        <w:rPr>
          <w:rStyle w:val="Refdenotaalpie"/>
          <w:rFonts w:cs="Arial"/>
          <w:sz w:val="24"/>
          <w:szCs w:val="24"/>
        </w:rPr>
        <w:footnoteReference w:id="2"/>
      </w:r>
      <w:r w:rsidR="002E380C">
        <w:rPr>
          <w:rFonts w:cs="Arial"/>
          <w:sz w:val="24"/>
          <w:szCs w:val="24"/>
        </w:rPr>
        <w:t xml:space="preserve"> de la ley 1476 de 2011</w:t>
      </w:r>
      <w:r w:rsidR="002817B1">
        <w:rPr>
          <w:rFonts w:cs="Arial"/>
          <w:sz w:val="24"/>
          <w:szCs w:val="24"/>
        </w:rPr>
        <w:t xml:space="preserve"> </w:t>
      </w:r>
      <w:r w:rsidR="002E380C">
        <w:rPr>
          <w:rFonts w:cs="Arial"/>
          <w:i/>
          <w:sz w:val="24"/>
          <w:szCs w:val="24"/>
        </w:rPr>
        <w:t xml:space="preserve">“Régimen </w:t>
      </w:r>
      <w:r w:rsidR="002E380C">
        <w:rPr>
          <w:rFonts w:cs="Arial"/>
          <w:i/>
          <w:sz w:val="24"/>
          <w:szCs w:val="24"/>
        </w:rPr>
        <w:lastRenderedPageBreak/>
        <w:t>de Responsabilidad Administrativa por pérdida o daño de bienes de propiedad o al servicio del Ministerio de Defensa Nacional, sus entidades adscritas o vinculadas a la Fuerza Pública</w:t>
      </w:r>
      <w:r w:rsidR="002817B1">
        <w:rPr>
          <w:rFonts w:cs="Arial"/>
          <w:i/>
          <w:sz w:val="24"/>
          <w:szCs w:val="24"/>
        </w:rPr>
        <w:t>”.</w:t>
      </w:r>
    </w:p>
    <w:p w14:paraId="617895EF" w14:textId="77777777" w:rsidR="00ED0219" w:rsidRDefault="00ED0219" w:rsidP="006043D2">
      <w:pPr>
        <w:pStyle w:val="Sangradetextonormal"/>
        <w:spacing w:line="360" w:lineRule="auto"/>
        <w:ind w:left="0" w:firstLine="0"/>
        <w:rPr>
          <w:rFonts w:cs="Arial"/>
          <w:color w:val="BFBFBF" w:themeColor="background1" w:themeShade="BF"/>
          <w:sz w:val="24"/>
          <w:szCs w:val="24"/>
        </w:rPr>
      </w:pPr>
    </w:p>
    <w:p w14:paraId="6A1CDCE5" w14:textId="77777777" w:rsidR="00863BC4" w:rsidRPr="00AC091D" w:rsidRDefault="00863BC4" w:rsidP="006043D2">
      <w:pPr>
        <w:pStyle w:val="Textoindependiente"/>
        <w:spacing w:line="360" w:lineRule="auto"/>
        <w:jc w:val="center"/>
        <w:rPr>
          <w:rFonts w:cs="Arial"/>
          <w:b/>
          <w:sz w:val="26"/>
          <w:szCs w:val="26"/>
          <w:u w:val="single"/>
        </w:rPr>
      </w:pPr>
      <w:r w:rsidRPr="00AC091D">
        <w:rPr>
          <w:rFonts w:cs="Arial"/>
          <w:b/>
          <w:sz w:val="26"/>
          <w:szCs w:val="26"/>
          <w:u w:val="single"/>
        </w:rPr>
        <w:t>HECHOS</w:t>
      </w:r>
    </w:p>
    <w:p w14:paraId="70532CAF" w14:textId="77777777" w:rsidR="00863BC4" w:rsidRPr="006043D2" w:rsidRDefault="00863BC4" w:rsidP="00C70E87">
      <w:pPr>
        <w:spacing w:line="360" w:lineRule="auto"/>
        <w:ind w:left="-142" w:right="-234"/>
        <w:jc w:val="center"/>
        <w:rPr>
          <w:rFonts w:ascii="Century Gothic" w:hAnsi="Century Gothic"/>
        </w:rPr>
      </w:pPr>
    </w:p>
    <w:p w14:paraId="41E61A34" w14:textId="62E1F946" w:rsidR="00863BC4" w:rsidRPr="00AD14CE" w:rsidRDefault="002E380C" w:rsidP="00C70E87">
      <w:pPr>
        <w:spacing w:line="360" w:lineRule="auto"/>
        <w:ind w:left="-142" w:right="-234"/>
        <w:jc w:val="both"/>
        <w:rPr>
          <w:rFonts w:ascii="Arial" w:hAnsi="Arial" w:cs="Arial"/>
          <w:color w:val="BFBFBF" w:themeColor="background1" w:themeShade="BF"/>
        </w:rPr>
      </w:pPr>
      <w:r>
        <w:rPr>
          <w:rFonts w:ascii="Arial" w:hAnsi="Arial" w:cs="Arial"/>
          <w:color w:val="000000" w:themeColor="text1"/>
        </w:rPr>
        <w:t>Los hechos que dieron inicio a la presente investigación administrativa</w:t>
      </w:r>
      <w:r w:rsidR="00353852">
        <w:rPr>
          <w:rFonts w:ascii="Arial" w:hAnsi="Arial" w:cs="Arial"/>
          <w:color w:val="000000" w:themeColor="text1"/>
        </w:rPr>
        <w:t xml:space="preserve"> </w:t>
      </w:r>
      <w:r>
        <w:rPr>
          <w:rFonts w:ascii="Arial" w:hAnsi="Arial" w:cs="Arial"/>
          <w:color w:val="000000" w:themeColor="text1"/>
        </w:rPr>
        <w:t>(</w:t>
      </w:r>
      <w:r>
        <w:rPr>
          <w:rFonts w:ascii="Arial" w:hAnsi="Arial" w:cs="Arial"/>
          <w:color w:val="BFBFBF" w:themeColor="background1" w:themeShade="BF"/>
        </w:rPr>
        <w:t xml:space="preserve">indicar la modalidad de la actuación –averiguación previa, proceso abreviado u ordinario) </w:t>
      </w:r>
      <w:r w:rsidR="00CE61F4">
        <w:rPr>
          <w:rFonts w:ascii="Arial" w:hAnsi="Arial" w:cs="Arial"/>
          <w:color w:val="000000" w:themeColor="text1"/>
        </w:rPr>
        <w:t>con radicado único SIDAE N°</w:t>
      </w:r>
      <w:r>
        <w:rPr>
          <w:rFonts w:ascii="Arial" w:hAnsi="Arial" w:cs="Arial"/>
          <w:color w:val="000000" w:themeColor="text1"/>
        </w:rPr>
        <w:t>.</w:t>
      </w:r>
      <w:r w:rsidRPr="002E380C">
        <w:rPr>
          <w:rFonts w:ascii="Arial" w:hAnsi="Arial" w:cs="Arial"/>
          <w:color w:val="BFBFBF" w:themeColor="background1" w:themeShade="BF"/>
        </w:rPr>
        <w:t xml:space="preserve"> </w:t>
      </w:r>
      <w:r w:rsidRPr="007A6534">
        <w:rPr>
          <w:rFonts w:ascii="Arial" w:hAnsi="Arial" w:cs="Arial"/>
          <w:color w:val="BFBFBF" w:themeColor="background1" w:themeShade="BF"/>
        </w:rPr>
        <w:t xml:space="preserve">(radicado </w:t>
      </w:r>
      <w:r w:rsidR="00CE61F4">
        <w:rPr>
          <w:rFonts w:ascii="Arial" w:hAnsi="Arial" w:cs="Arial"/>
          <w:color w:val="BFBFBF" w:themeColor="background1" w:themeShade="BF"/>
        </w:rPr>
        <w:t>arrojado</w:t>
      </w:r>
      <w:r w:rsidR="00353852">
        <w:rPr>
          <w:rFonts w:ascii="Arial" w:hAnsi="Arial" w:cs="Arial"/>
          <w:color w:val="BFBFBF" w:themeColor="background1" w:themeShade="BF"/>
        </w:rPr>
        <w:t xml:space="preserve"> por la plataforma SIJEN</w:t>
      </w:r>
      <w:r w:rsidR="00CE61F4">
        <w:rPr>
          <w:rFonts w:ascii="Arial" w:hAnsi="Arial" w:cs="Arial"/>
          <w:color w:val="BFBFBF" w:themeColor="background1" w:themeShade="BF"/>
        </w:rPr>
        <w:t>)</w:t>
      </w:r>
      <w:r w:rsidR="00353852">
        <w:rPr>
          <w:rFonts w:ascii="Arial" w:hAnsi="Arial" w:cs="Arial"/>
          <w:color w:val="BFBFBF" w:themeColor="background1" w:themeShade="BF"/>
        </w:rPr>
        <w:t xml:space="preserve"> </w:t>
      </w:r>
      <w:r w:rsidR="00927C0D">
        <w:rPr>
          <w:rFonts w:ascii="Arial" w:hAnsi="Arial" w:cs="Arial"/>
          <w:color w:val="000000" w:themeColor="text1"/>
        </w:rPr>
        <w:t>visto a</w:t>
      </w:r>
      <w:r w:rsidR="007A6534" w:rsidRPr="007A6534">
        <w:rPr>
          <w:rFonts w:ascii="Arial" w:hAnsi="Arial" w:cs="Arial"/>
          <w:color w:val="000000" w:themeColor="text1"/>
        </w:rPr>
        <w:t xml:space="preserve"> folio</w:t>
      </w:r>
      <w:r w:rsidR="007A6534">
        <w:rPr>
          <w:rFonts w:ascii="Arial" w:hAnsi="Arial" w:cs="Arial"/>
          <w:color w:val="000000" w:themeColor="text1"/>
        </w:rPr>
        <w:t xml:space="preserve"> </w:t>
      </w:r>
      <w:r w:rsidR="00927C0D" w:rsidRPr="00927C0D">
        <w:rPr>
          <w:rFonts w:ascii="Arial" w:hAnsi="Arial" w:cs="Arial"/>
          <w:color w:val="BFBFBF" w:themeColor="background1" w:themeShade="BF"/>
        </w:rPr>
        <w:t>(se relaciona folio y cuaderno</w:t>
      </w:r>
      <w:r>
        <w:rPr>
          <w:rFonts w:ascii="Arial" w:hAnsi="Arial" w:cs="Arial"/>
          <w:color w:val="BFBFBF" w:themeColor="background1" w:themeShade="BF"/>
        </w:rPr>
        <w:t xml:space="preserve"> del informe que da cuenta de los hechos que se investigan</w:t>
      </w:r>
      <w:r w:rsidR="00927C0D" w:rsidRPr="00927C0D">
        <w:rPr>
          <w:rFonts w:ascii="Arial" w:hAnsi="Arial" w:cs="Arial"/>
          <w:color w:val="BFBFBF" w:themeColor="background1" w:themeShade="BF"/>
        </w:rPr>
        <w:t>)</w:t>
      </w:r>
      <w:r w:rsidR="007A6534" w:rsidRPr="00927C0D">
        <w:rPr>
          <w:rFonts w:ascii="Arial" w:hAnsi="Arial" w:cs="Arial"/>
          <w:color w:val="000000" w:themeColor="text1"/>
        </w:rPr>
        <w:t xml:space="preserve">, </w:t>
      </w:r>
      <w:r w:rsidR="007A6534" w:rsidRPr="007A6534">
        <w:rPr>
          <w:rFonts w:ascii="Arial" w:hAnsi="Arial" w:cs="Arial"/>
          <w:color w:val="000000" w:themeColor="text1"/>
        </w:rPr>
        <w:t xml:space="preserve">se indica que los </w:t>
      </w:r>
      <w:r w:rsidR="00927C0D">
        <w:rPr>
          <w:rFonts w:ascii="Arial" w:hAnsi="Arial" w:cs="Arial"/>
          <w:color w:val="000000" w:themeColor="text1"/>
        </w:rPr>
        <w:t xml:space="preserve">hechos materia de investigación fueron </w:t>
      </w:r>
      <w:r w:rsidR="00863BC4" w:rsidRPr="003731CE">
        <w:rPr>
          <w:rFonts w:ascii="Arial" w:hAnsi="Arial" w:cs="Arial"/>
          <w:color w:val="BFBFBF" w:themeColor="background1" w:themeShade="BF"/>
        </w:rPr>
        <w:t xml:space="preserve">(Se hace una narración y descripción sucinta de la forma como se tuvo conocimiento de los mismos, con </w:t>
      </w:r>
      <w:r w:rsidR="00863BC4" w:rsidRPr="003731CE">
        <w:rPr>
          <w:rFonts w:ascii="Arial" w:hAnsi="Arial" w:cs="Arial"/>
          <w:color w:val="BFBFBF" w:themeColor="background1" w:themeShade="BF"/>
          <w:u w:val="single"/>
        </w:rPr>
        <w:t>indicación de las circunstancias de modo, tiempo y lugar en que se sucedieron</w:t>
      </w:r>
      <w:r w:rsidR="00927C0D">
        <w:rPr>
          <w:rFonts w:ascii="Arial" w:hAnsi="Arial" w:cs="Arial"/>
          <w:color w:val="BFBFBF" w:themeColor="background1" w:themeShade="BF"/>
        </w:rPr>
        <w:t xml:space="preserve"> (Cuando, Donde y Como)</w:t>
      </w:r>
      <w:r w:rsidR="0003759E">
        <w:rPr>
          <w:rFonts w:ascii="Arial" w:hAnsi="Arial" w:cs="Arial"/>
          <w:color w:val="BFBFBF" w:themeColor="background1" w:themeShade="BF"/>
        </w:rPr>
        <w:t>, así como la identificación de los bienes en los que se investiga su pérdida</w:t>
      </w:r>
      <w:r w:rsidR="00AD14CE">
        <w:rPr>
          <w:rFonts w:ascii="Arial" w:hAnsi="Arial" w:cs="Arial"/>
          <w:color w:val="BFBFBF" w:themeColor="background1" w:themeShade="BF"/>
        </w:rPr>
        <w:t xml:space="preserve"> </w:t>
      </w:r>
      <w:r w:rsidR="0003759E">
        <w:rPr>
          <w:rFonts w:ascii="Arial" w:hAnsi="Arial" w:cs="Arial"/>
          <w:color w:val="BFBFBF" w:themeColor="background1" w:themeShade="BF"/>
        </w:rPr>
        <w:t>o daño</w:t>
      </w:r>
      <w:r w:rsidR="00927C0D">
        <w:rPr>
          <w:rFonts w:ascii="Arial" w:hAnsi="Arial" w:cs="Arial"/>
          <w:color w:val="BFBFBF" w:themeColor="background1" w:themeShade="BF"/>
        </w:rPr>
        <w:t>)</w:t>
      </w:r>
    </w:p>
    <w:p w14:paraId="068C593B" w14:textId="04F3ED2E" w:rsidR="00863BC4" w:rsidRPr="00A91D96" w:rsidRDefault="00863BC4" w:rsidP="00C70E87">
      <w:pPr>
        <w:pStyle w:val="Textoindependiente"/>
        <w:spacing w:line="360" w:lineRule="auto"/>
        <w:ind w:left="-142" w:right="-234"/>
        <w:rPr>
          <w:rFonts w:cs="Arial"/>
          <w:b/>
          <w:sz w:val="24"/>
          <w:szCs w:val="24"/>
          <w:u w:val="single"/>
        </w:rPr>
      </w:pPr>
    </w:p>
    <w:p w14:paraId="5147DFC2" w14:textId="77777777" w:rsidR="00863BC4" w:rsidRPr="00AC091D" w:rsidRDefault="00863BC4" w:rsidP="00C70E87">
      <w:pPr>
        <w:pStyle w:val="Textoindependiente"/>
        <w:spacing w:line="360" w:lineRule="auto"/>
        <w:ind w:left="-142" w:right="-234"/>
        <w:jc w:val="center"/>
        <w:rPr>
          <w:rFonts w:cs="Arial"/>
          <w:b/>
          <w:sz w:val="26"/>
          <w:szCs w:val="26"/>
          <w:u w:val="single"/>
        </w:rPr>
      </w:pPr>
      <w:r w:rsidRPr="00AC091D">
        <w:rPr>
          <w:rFonts w:cs="Arial"/>
          <w:b/>
          <w:sz w:val="26"/>
          <w:szCs w:val="26"/>
          <w:u w:val="single"/>
        </w:rPr>
        <w:t>ARGUMENTOS PARA DECIDIR</w:t>
      </w:r>
    </w:p>
    <w:p w14:paraId="4D5FFF93" w14:textId="77777777" w:rsidR="00863BC4" w:rsidRDefault="00863BC4" w:rsidP="00C70E87">
      <w:pPr>
        <w:spacing w:line="360" w:lineRule="auto"/>
        <w:ind w:left="-142" w:right="-234"/>
        <w:jc w:val="both"/>
        <w:rPr>
          <w:rFonts w:ascii="Arial" w:hAnsi="Arial" w:cs="Arial"/>
          <w:color w:val="808080"/>
        </w:rPr>
      </w:pPr>
    </w:p>
    <w:p w14:paraId="76DC8C08" w14:textId="1186D387" w:rsidR="00863BC4" w:rsidRPr="00C8639A" w:rsidRDefault="00863BC4" w:rsidP="00C70E87">
      <w:pPr>
        <w:spacing w:line="360" w:lineRule="auto"/>
        <w:ind w:left="-142" w:right="-234"/>
        <w:jc w:val="both"/>
        <w:rPr>
          <w:rFonts w:ascii="Arial" w:hAnsi="Arial" w:cs="Arial"/>
          <w:color w:val="BFBFBF"/>
        </w:rPr>
      </w:pPr>
      <w:r w:rsidRPr="00C8639A">
        <w:rPr>
          <w:rFonts w:ascii="Arial" w:hAnsi="Arial" w:cs="Arial"/>
          <w:color w:val="BFBFBF"/>
        </w:rPr>
        <w:t xml:space="preserve">(… En este acápite se argumentan las razones y consideraciones fácticas, así como los fundamentos legales, por los cuales el Funcionario Competente resolverá </w:t>
      </w:r>
      <w:r w:rsidR="004D60F6">
        <w:rPr>
          <w:rFonts w:ascii="Arial" w:hAnsi="Arial" w:cs="Arial"/>
          <w:color w:val="BFBFBF"/>
        </w:rPr>
        <w:t xml:space="preserve">avocar conocimiento de la </w:t>
      </w:r>
      <w:r w:rsidR="00CE61F4">
        <w:rPr>
          <w:rFonts w:ascii="Arial" w:hAnsi="Arial" w:cs="Arial"/>
          <w:color w:val="BFBFBF"/>
        </w:rPr>
        <w:t>investigación administrativa)</w:t>
      </w:r>
    </w:p>
    <w:p w14:paraId="05F502C0" w14:textId="77777777" w:rsidR="00863BC4" w:rsidRPr="00963B23" w:rsidRDefault="00863BC4" w:rsidP="00C70E87">
      <w:pPr>
        <w:pStyle w:val="NormalWeb"/>
        <w:spacing w:before="0" w:beforeAutospacing="0" w:after="0" w:afterAutospacing="0" w:line="360" w:lineRule="auto"/>
        <w:ind w:left="-142" w:right="-234"/>
        <w:jc w:val="both"/>
        <w:rPr>
          <w:rFonts w:ascii="Arial" w:hAnsi="Arial" w:cs="Arial"/>
          <w:lang w:val="es-ES"/>
        </w:rPr>
      </w:pPr>
    </w:p>
    <w:p w14:paraId="23772C56" w14:textId="77777777" w:rsidR="00863BC4" w:rsidRPr="00AC091D" w:rsidRDefault="00863BC4" w:rsidP="00C70E87">
      <w:pPr>
        <w:pStyle w:val="Textoindependiente"/>
        <w:spacing w:line="360" w:lineRule="auto"/>
        <w:ind w:left="-142" w:right="-234"/>
        <w:rPr>
          <w:rFonts w:cs="Arial"/>
          <w:color w:val="000000"/>
          <w:sz w:val="27"/>
          <w:szCs w:val="27"/>
        </w:rPr>
      </w:pPr>
      <w:r w:rsidRPr="00C861AF">
        <w:rPr>
          <w:rFonts w:cs="Arial"/>
          <w:sz w:val="24"/>
          <w:szCs w:val="24"/>
        </w:rPr>
        <w:t>En mérito de</w:t>
      </w:r>
      <w:r w:rsidRPr="00AC091D">
        <w:rPr>
          <w:rFonts w:cs="Arial"/>
          <w:sz w:val="24"/>
          <w:szCs w:val="24"/>
        </w:rPr>
        <w:t xml:space="preserve"> lo antes expuesto, el suscrito </w:t>
      </w:r>
      <w:r w:rsidRPr="00AC091D">
        <w:rPr>
          <w:rFonts w:cs="Arial"/>
          <w:color w:val="BFBFBF"/>
          <w:sz w:val="24"/>
          <w:szCs w:val="24"/>
        </w:rPr>
        <w:t>(… Grado y Cargo del Funcionario Competente …)</w:t>
      </w:r>
      <w:r w:rsidRPr="00AC091D">
        <w:rPr>
          <w:rFonts w:cs="Arial"/>
          <w:sz w:val="24"/>
          <w:szCs w:val="24"/>
        </w:rPr>
        <w:t>, en calidad de Funcionario Competente y en pleno uso de las facultades legales que le confiere la Ley 1</w:t>
      </w:r>
      <w:r w:rsidR="00AD14CE">
        <w:rPr>
          <w:rFonts w:cs="Arial"/>
          <w:sz w:val="24"/>
          <w:szCs w:val="24"/>
        </w:rPr>
        <w:t>476</w:t>
      </w:r>
      <w:r w:rsidRPr="00AC091D">
        <w:rPr>
          <w:rFonts w:cs="Arial"/>
          <w:sz w:val="24"/>
          <w:szCs w:val="24"/>
        </w:rPr>
        <w:t xml:space="preserve"> de 201</w:t>
      </w:r>
      <w:r w:rsidR="00AD14CE">
        <w:rPr>
          <w:rFonts w:cs="Arial"/>
          <w:sz w:val="24"/>
          <w:szCs w:val="24"/>
        </w:rPr>
        <w:t>1</w:t>
      </w:r>
      <w:r w:rsidRPr="00AC091D">
        <w:rPr>
          <w:rFonts w:cs="Arial"/>
          <w:sz w:val="24"/>
          <w:szCs w:val="24"/>
        </w:rPr>
        <w:t xml:space="preserve"> </w:t>
      </w:r>
      <w:r w:rsidR="00C27A02">
        <w:rPr>
          <w:rFonts w:cs="Arial"/>
          <w:sz w:val="24"/>
          <w:szCs w:val="24"/>
        </w:rPr>
        <w:t>“</w:t>
      </w:r>
      <w:r w:rsidR="001F55D9">
        <w:rPr>
          <w:rFonts w:cs="Arial"/>
          <w:i/>
          <w:sz w:val="24"/>
          <w:szCs w:val="24"/>
        </w:rPr>
        <w:t>Régimen</w:t>
      </w:r>
      <w:r w:rsidR="00AD14CE">
        <w:rPr>
          <w:rFonts w:cs="Arial"/>
          <w:i/>
          <w:sz w:val="24"/>
          <w:szCs w:val="24"/>
        </w:rPr>
        <w:t xml:space="preserve"> de Responsabilidad Administrativa por </w:t>
      </w:r>
      <w:r w:rsidR="001F55D9">
        <w:rPr>
          <w:rFonts w:cs="Arial"/>
          <w:i/>
          <w:sz w:val="24"/>
          <w:szCs w:val="24"/>
        </w:rPr>
        <w:t>pérdida o</w:t>
      </w:r>
      <w:r w:rsidR="00AD14CE">
        <w:rPr>
          <w:rFonts w:cs="Arial"/>
          <w:i/>
          <w:sz w:val="24"/>
          <w:szCs w:val="24"/>
        </w:rPr>
        <w:t xml:space="preserve"> daño de bienes de propiedad o al servicio del Ministerio de Defensa </w:t>
      </w:r>
      <w:r w:rsidR="001F55D9">
        <w:rPr>
          <w:rFonts w:cs="Arial"/>
          <w:i/>
          <w:sz w:val="24"/>
          <w:szCs w:val="24"/>
        </w:rPr>
        <w:t>Nacional,</w:t>
      </w:r>
      <w:r w:rsidR="00AD14CE">
        <w:rPr>
          <w:rFonts w:cs="Arial"/>
          <w:i/>
          <w:sz w:val="24"/>
          <w:szCs w:val="24"/>
        </w:rPr>
        <w:t xml:space="preserve"> sus entida</w:t>
      </w:r>
      <w:r w:rsidR="001F55D9">
        <w:rPr>
          <w:rFonts w:cs="Arial"/>
          <w:i/>
          <w:sz w:val="24"/>
          <w:szCs w:val="24"/>
        </w:rPr>
        <w:t>de</w:t>
      </w:r>
      <w:r w:rsidR="00AD14CE">
        <w:rPr>
          <w:rFonts w:cs="Arial"/>
          <w:i/>
          <w:sz w:val="24"/>
          <w:szCs w:val="24"/>
        </w:rPr>
        <w:t xml:space="preserve">s adscritas o vinculadas a la Fuerza </w:t>
      </w:r>
      <w:r w:rsidR="001F55D9">
        <w:rPr>
          <w:rFonts w:cs="Arial"/>
          <w:i/>
          <w:sz w:val="24"/>
          <w:szCs w:val="24"/>
        </w:rPr>
        <w:t>Pública</w:t>
      </w:r>
      <w:r w:rsidR="00AD14CE">
        <w:rPr>
          <w:rFonts w:cs="Arial"/>
          <w:i/>
          <w:sz w:val="24"/>
          <w:szCs w:val="24"/>
        </w:rPr>
        <w:t xml:space="preserve"> “</w:t>
      </w:r>
    </w:p>
    <w:p w14:paraId="43357B1D" w14:textId="2544A8D1" w:rsidR="00FA7C76" w:rsidRPr="00AC091D" w:rsidRDefault="00FA7C76" w:rsidP="006043D2">
      <w:pPr>
        <w:pStyle w:val="Textoindependiente"/>
        <w:spacing w:line="360" w:lineRule="auto"/>
        <w:ind w:right="51"/>
        <w:rPr>
          <w:rFonts w:cs="Arial"/>
          <w:color w:val="000000"/>
          <w:sz w:val="27"/>
          <w:szCs w:val="27"/>
        </w:rPr>
      </w:pPr>
    </w:p>
    <w:p w14:paraId="68E7B914"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u w:val="single"/>
        </w:rPr>
        <w:t>RESUELVE</w:t>
      </w:r>
      <w:r w:rsidRPr="00AC091D">
        <w:rPr>
          <w:rFonts w:ascii="Arial" w:hAnsi="Arial" w:cs="Arial"/>
          <w:b/>
          <w:sz w:val="26"/>
          <w:szCs w:val="26"/>
        </w:rPr>
        <w:t>:</w:t>
      </w:r>
    </w:p>
    <w:p w14:paraId="1CB4111B" w14:textId="77777777" w:rsidR="00863BC4" w:rsidRPr="00AC091D" w:rsidRDefault="00863BC4" w:rsidP="006043D2">
      <w:pPr>
        <w:pStyle w:val="Ttulo"/>
        <w:spacing w:line="360" w:lineRule="auto"/>
        <w:ind w:right="51"/>
        <w:rPr>
          <w:rFonts w:ascii="Century Gothic" w:hAnsi="Century Gothic"/>
          <w:b/>
          <w:sz w:val="26"/>
          <w:szCs w:val="26"/>
          <w:u w:val="single"/>
        </w:rPr>
      </w:pPr>
    </w:p>
    <w:p w14:paraId="4300EE4F" w14:textId="73315AFD" w:rsidR="00863BC4" w:rsidRPr="00C27A02" w:rsidRDefault="00863BC4" w:rsidP="00C70E87">
      <w:pPr>
        <w:pStyle w:val="Sangradetextonormal"/>
        <w:spacing w:line="360" w:lineRule="auto"/>
        <w:ind w:left="1560" w:hanging="1701"/>
        <w:rPr>
          <w:rFonts w:cs="Arial"/>
          <w:sz w:val="24"/>
          <w:szCs w:val="24"/>
        </w:rPr>
      </w:pPr>
      <w:r w:rsidRPr="00C27A02">
        <w:rPr>
          <w:rFonts w:cs="Arial"/>
          <w:b/>
          <w:sz w:val="24"/>
          <w:szCs w:val="24"/>
        </w:rPr>
        <w:t>PRIMERO:</w:t>
      </w:r>
      <w:r w:rsidRPr="00C27A02">
        <w:rPr>
          <w:rFonts w:cs="Arial"/>
          <w:b/>
          <w:sz w:val="24"/>
          <w:szCs w:val="24"/>
        </w:rPr>
        <w:tab/>
      </w:r>
      <w:r w:rsidR="00C861AF">
        <w:rPr>
          <w:rFonts w:cs="Arial"/>
          <w:b/>
          <w:sz w:val="24"/>
          <w:szCs w:val="24"/>
        </w:rPr>
        <w:t xml:space="preserve">AVOCAR </w:t>
      </w:r>
      <w:r w:rsidR="00C861AF">
        <w:rPr>
          <w:rFonts w:cs="Arial"/>
          <w:sz w:val="24"/>
          <w:szCs w:val="24"/>
        </w:rPr>
        <w:t xml:space="preserve">conocimiento de la </w:t>
      </w:r>
      <w:r w:rsidR="001F55D9" w:rsidRPr="00C27A02">
        <w:rPr>
          <w:rFonts w:cs="Arial"/>
          <w:b/>
          <w:sz w:val="24"/>
          <w:szCs w:val="24"/>
        </w:rPr>
        <w:t>In</w:t>
      </w:r>
      <w:r w:rsidR="001F55D9">
        <w:rPr>
          <w:rFonts w:cs="Arial"/>
          <w:b/>
          <w:sz w:val="24"/>
          <w:szCs w:val="24"/>
        </w:rPr>
        <w:t xml:space="preserve">vestigación Administrativa </w:t>
      </w:r>
      <w:r w:rsidR="00F65E64" w:rsidRPr="00F65E64">
        <w:rPr>
          <w:rFonts w:cs="Arial"/>
          <w:sz w:val="24"/>
          <w:szCs w:val="24"/>
        </w:rPr>
        <w:t xml:space="preserve">adelantada bajo la modalidad de </w:t>
      </w:r>
      <w:r w:rsidR="00F65E64">
        <w:rPr>
          <w:rFonts w:cs="Arial"/>
          <w:sz w:val="24"/>
          <w:szCs w:val="24"/>
        </w:rPr>
        <w:t>(</w:t>
      </w:r>
      <w:r w:rsidR="00F65E64">
        <w:rPr>
          <w:rFonts w:cs="Arial"/>
          <w:color w:val="BFBFBF" w:themeColor="background1" w:themeShade="BF"/>
          <w:sz w:val="24"/>
          <w:szCs w:val="24"/>
        </w:rPr>
        <w:t xml:space="preserve">Averiguación previa, abreviado u ordinario) </w:t>
      </w:r>
      <w:r w:rsidR="00CE61F4" w:rsidRPr="00CE61F4">
        <w:rPr>
          <w:rFonts w:cs="Arial"/>
          <w:b/>
          <w:sz w:val="24"/>
          <w:szCs w:val="24"/>
          <w:lang w:val="es-ES"/>
        </w:rPr>
        <w:t>con radicado único SIDAE N</w:t>
      </w:r>
      <w:r w:rsidR="00CE61F4">
        <w:rPr>
          <w:rFonts w:cs="Arial"/>
          <w:b/>
          <w:sz w:val="24"/>
          <w:szCs w:val="24"/>
          <w:lang w:val="es-ES"/>
        </w:rPr>
        <w:t xml:space="preserve">° </w:t>
      </w:r>
      <w:r w:rsidR="00CE61F4" w:rsidRPr="00FF2D2A">
        <w:rPr>
          <w:rFonts w:cs="Arial"/>
          <w:color w:val="BFBFBF" w:themeColor="background1" w:themeShade="BF"/>
          <w:sz w:val="24"/>
          <w:szCs w:val="24"/>
        </w:rPr>
        <w:t xml:space="preserve">(Indicar el radicado arrojado del SIJEN) </w:t>
      </w:r>
      <w:r w:rsidRPr="00C27A02">
        <w:rPr>
          <w:rFonts w:cs="Arial"/>
          <w:sz w:val="24"/>
          <w:szCs w:val="24"/>
        </w:rPr>
        <w:t xml:space="preserve">por </w:t>
      </w:r>
      <w:r w:rsidR="00C27A02" w:rsidRPr="00C27A02">
        <w:rPr>
          <w:rFonts w:cs="Arial"/>
          <w:sz w:val="24"/>
          <w:szCs w:val="24"/>
        </w:rPr>
        <w:t xml:space="preserve">los </w:t>
      </w:r>
      <w:r w:rsidRPr="00C27A02">
        <w:rPr>
          <w:rFonts w:cs="Arial"/>
          <w:sz w:val="24"/>
          <w:szCs w:val="24"/>
        </w:rPr>
        <w:t xml:space="preserve">hechos acaecidos el día </w:t>
      </w:r>
      <w:r w:rsidRPr="001E16CF">
        <w:rPr>
          <w:rFonts w:cs="Arial"/>
          <w:color w:val="BFBFBF" w:themeColor="background1" w:themeShade="BF"/>
          <w:sz w:val="24"/>
          <w:szCs w:val="24"/>
        </w:rPr>
        <w:t>(… Se establece la fecha (Día, Mes y Año) en que tuvieron ocurrencia los hechos</w:t>
      </w:r>
      <w:r w:rsidR="00F65E64">
        <w:rPr>
          <w:rFonts w:cs="Arial"/>
          <w:color w:val="BFBFBF" w:themeColor="background1" w:themeShade="BF"/>
          <w:sz w:val="24"/>
          <w:szCs w:val="24"/>
        </w:rPr>
        <w:t xml:space="preserve"> identificación del bien o bienes perdido o dañado materia de investigación</w:t>
      </w:r>
      <w:r w:rsidRPr="001E16CF">
        <w:rPr>
          <w:rFonts w:cs="Arial"/>
          <w:color w:val="BFBFBF" w:themeColor="background1" w:themeShade="BF"/>
          <w:sz w:val="24"/>
          <w:szCs w:val="24"/>
        </w:rPr>
        <w:t>)</w:t>
      </w:r>
      <w:r w:rsidRPr="001E16CF">
        <w:rPr>
          <w:rFonts w:cs="Arial"/>
          <w:sz w:val="24"/>
          <w:szCs w:val="24"/>
        </w:rPr>
        <w:t>, en</w:t>
      </w:r>
      <w:r w:rsidRPr="001E16CF">
        <w:rPr>
          <w:rFonts w:cs="Arial"/>
          <w:color w:val="BFBFBF" w:themeColor="background1" w:themeShade="BF"/>
          <w:sz w:val="24"/>
          <w:szCs w:val="24"/>
        </w:rPr>
        <w:t xml:space="preserve"> (… Se establece el Lugar (Debe ser el sitio exacto, puede ser un Caserío, Vereda, Municipio o un lugar </w:t>
      </w:r>
      <w:r w:rsidRPr="001E16CF">
        <w:rPr>
          <w:rFonts w:cs="Arial"/>
          <w:color w:val="BFBFBF" w:themeColor="background1" w:themeShade="BF"/>
          <w:sz w:val="24"/>
          <w:szCs w:val="24"/>
        </w:rPr>
        <w:lastRenderedPageBreak/>
        <w:t>dentro de la Unidad militar), donde tuvieron ocurrencia los hechos)</w:t>
      </w:r>
      <w:r w:rsidR="00C27A02" w:rsidRPr="001E16CF">
        <w:rPr>
          <w:rFonts w:cs="Arial"/>
          <w:color w:val="BFBFBF" w:themeColor="background1" w:themeShade="BF"/>
          <w:sz w:val="24"/>
          <w:szCs w:val="24"/>
        </w:rPr>
        <w:t xml:space="preserve"> (en caso de que se haya individualizado al presunto autor de la conducta se señala en contra de quien se inicia la actuación</w:t>
      </w:r>
      <w:r w:rsidR="00A77824" w:rsidRPr="001E16CF">
        <w:rPr>
          <w:rFonts w:cs="Arial"/>
          <w:color w:val="BFBFBF" w:themeColor="background1" w:themeShade="BF"/>
          <w:sz w:val="24"/>
          <w:szCs w:val="24"/>
        </w:rPr>
        <w:t>, de lo contrario se indicará que se adelanta en contra de “AVERIGUACIÓN DE RESPONSABLES”</w:t>
      </w:r>
      <w:r w:rsidRPr="001E16CF">
        <w:rPr>
          <w:rFonts w:cs="Arial"/>
          <w:sz w:val="24"/>
          <w:szCs w:val="24"/>
        </w:rPr>
        <w:t>,</w:t>
      </w:r>
      <w:r w:rsidRPr="00C27A02">
        <w:rPr>
          <w:rFonts w:cs="Arial"/>
          <w:sz w:val="24"/>
          <w:szCs w:val="24"/>
        </w:rPr>
        <w:t xml:space="preserve"> </w:t>
      </w:r>
      <w:r w:rsidRPr="00C27A02">
        <w:rPr>
          <w:rFonts w:cs="Arial"/>
          <w:color w:val="000000" w:themeColor="text1"/>
          <w:sz w:val="24"/>
          <w:szCs w:val="24"/>
        </w:rPr>
        <w:t>l</w:t>
      </w:r>
      <w:r w:rsidRPr="00C27A02">
        <w:rPr>
          <w:rFonts w:cs="Arial"/>
          <w:sz w:val="24"/>
          <w:szCs w:val="24"/>
        </w:rPr>
        <w:t>o anterior de conformidad con lo expuesto en la parte considerativa del presente proveído.</w:t>
      </w:r>
    </w:p>
    <w:p w14:paraId="15C31AB4" w14:textId="77777777" w:rsidR="00863BC4" w:rsidRPr="00C27A02" w:rsidRDefault="00863BC4" w:rsidP="006043D2">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78E4223C" w14:textId="474DA117" w:rsidR="00F65E64" w:rsidRPr="00D6166C" w:rsidRDefault="00C861AF" w:rsidP="00C70E87">
      <w:pPr>
        <w:autoSpaceDE w:val="0"/>
        <w:autoSpaceDN w:val="0"/>
        <w:adjustRightInd w:val="0"/>
        <w:spacing w:line="360" w:lineRule="auto"/>
        <w:ind w:left="1276" w:hanging="1559"/>
        <w:jc w:val="both"/>
        <w:rPr>
          <w:rFonts w:ascii="Arial" w:hAnsi="Arial" w:cs="Arial"/>
        </w:rPr>
      </w:pPr>
      <w:r w:rsidRPr="00D6166C">
        <w:rPr>
          <w:rFonts w:ascii="Arial" w:hAnsi="Arial" w:cs="Arial"/>
          <w:b/>
        </w:rPr>
        <w:t>SEGUNDO</w:t>
      </w:r>
      <w:r w:rsidRPr="00D6166C">
        <w:rPr>
          <w:rFonts w:ascii="Arial" w:hAnsi="Arial" w:cs="Arial"/>
        </w:rPr>
        <w:t>:</w:t>
      </w:r>
      <w:r w:rsidRPr="00D6166C">
        <w:rPr>
          <w:rFonts w:ascii="Arial" w:hAnsi="Arial" w:cs="Arial"/>
        </w:rPr>
        <w:tab/>
      </w:r>
      <w:r w:rsidRPr="00D6166C">
        <w:rPr>
          <w:rFonts w:ascii="Arial" w:hAnsi="Arial" w:cs="Arial"/>
        </w:rPr>
        <w:tab/>
      </w:r>
      <w:r w:rsidR="00F65E64" w:rsidRPr="00D6166C">
        <w:rPr>
          <w:rFonts w:ascii="Arial" w:hAnsi="Arial" w:cs="Arial"/>
          <w:b/>
        </w:rPr>
        <w:t xml:space="preserve">CONTINUAR CON EL PROCEDIMIENTO </w:t>
      </w:r>
      <w:r w:rsidR="00F65E64" w:rsidRPr="00D6166C">
        <w:rPr>
          <w:rFonts w:ascii="Arial" w:hAnsi="Arial" w:cs="Arial"/>
        </w:rPr>
        <w:t xml:space="preserve">seguido dentro de la investigación administrativa </w:t>
      </w:r>
      <w:r w:rsidR="00CE61F4">
        <w:rPr>
          <w:rFonts w:ascii="Arial" w:hAnsi="Arial" w:cs="Arial"/>
        </w:rPr>
        <w:t xml:space="preserve">con radicado único SIDAE N° </w:t>
      </w:r>
      <w:r w:rsidR="00CE61F4" w:rsidRPr="00FF2D2A">
        <w:rPr>
          <w:rFonts w:ascii="Arial" w:hAnsi="Arial" w:cs="Arial"/>
          <w:color w:val="BFBFBF" w:themeColor="background1" w:themeShade="BF"/>
        </w:rPr>
        <w:t>(Indicar el radicado arrojado del SIJEN)</w:t>
      </w:r>
      <w:r w:rsidR="00F65E64" w:rsidRPr="00D6166C">
        <w:rPr>
          <w:rFonts w:ascii="Arial" w:hAnsi="Arial" w:cs="Arial"/>
          <w:color w:val="BFBFBF" w:themeColor="background1" w:themeShade="BF"/>
        </w:rPr>
        <w:t xml:space="preserve"> </w:t>
      </w:r>
      <w:r w:rsidR="00F65E64" w:rsidRPr="00D6166C">
        <w:rPr>
          <w:rFonts w:ascii="Arial" w:hAnsi="Arial" w:cs="Arial"/>
        </w:rPr>
        <w:t>adelantada bajo la modalidad de (</w:t>
      </w:r>
      <w:r w:rsidR="00F65E64" w:rsidRPr="00D6166C">
        <w:rPr>
          <w:rFonts w:ascii="Arial" w:hAnsi="Arial" w:cs="Arial"/>
          <w:color w:val="BFBFBF" w:themeColor="background1" w:themeShade="BF"/>
        </w:rPr>
        <w:t xml:space="preserve">Averiguación previa, abreviado u ordinario), </w:t>
      </w:r>
      <w:r w:rsidR="00F65E64" w:rsidRPr="00D6166C">
        <w:rPr>
          <w:rFonts w:ascii="Arial" w:hAnsi="Arial" w:cs="Arial"/>
        </w:rPr>
        <w:t xml:space="preserve">como consecuencia de lo anterior, las pruebas obrantes en el plenario se </w:t>
      </w:r>
      <w:r w:rsidR="00627FF8" w:rsidRPr="00D6166C">
        <w:rPr>
          <w:rFonts w:ascii="Arial" w:hAnsi="Arial" w:cs="Arial"/>
        </w:rPr>
        <w:t>convalidarán</w:t>
      </w:r>
      <w:r w:rsidR="00F65E64" w:rsidRPr="00D6166C">
        <w:rPr>
          <w:rFonts w:ascii="Arial" w:hAnsi="Arial" w:cs="Arial"/>
        </w:rPr>
        <w:t xml:space="preserve"> y se seguirán valorando en su totalidad.</w:t>
      </w:r>
    </w:p>
    <w:p w14:paraId="63025680" w14:textId="057E5A65" w:rsidR="00F65E64" w:rsidRDefault="00F65E64" w:rsidP="00C861AF">
      <w:pPr>
        <w:tabs>
          <w:tab w:val="left" w:pos="1418"/>
        </w:tabs>
        <w:autoSpaceDE w:val="0"/>
        <w:autoSpaceDN w:val="0"/>
        <w:adjustRightInd w:val="0"/>
        <w:spacing w:line="360" w:lineRule="auto"/>
        <w:ind w:left="1701" w:hanging="1701"/>
        <w:jc w:val="both"/>
        <w:rPr>
          <w:rFonts w:ascii="Arial" w:hAnsi="Arial" w:cs="Arial"/>
          <w:b/>
        </w:rPr>
      </w:pPr>
    </w:p>
    <w:p w14:paraId="260EE896" w14:textId="2799016E" w:rsidR="00D82D06" w:rsidRPr="00D6166C" w:rsidRDefault="00D82D06" w:rsidP="00C861AF">
      <w:pPr>
        <w:tabs>
          <w:tab w:val="left" w:pos="1418"/>
        </w:tabs>
        <w:autoSpaceDE w:val="0"/>
        <w:autoSpaceDN w:val="0"/>
        <w:adjustRightInd w:val="0"/>
        <w:spacing w:line="360" w:lineRule="auto"/>
        <w:ind w:left="1701" w:hanging="1701"/>
        <w:jc w:val="both"/>
        <w:rPr>
          <w:rFonts w:ascii="Arial" w:hAnsi="Arial" w:cs="Arial"/>
          <w:b/>
        </w:rPr>
      </w:pPr>
    </w:p>
    <w:p w14:paraId="6BBD4C55" w14:textId="77777777" w:rsidR="00D6166C" w:rsidRPr="00D6166C" w:rsidRDefault="00F65E64" w:rsidP="00C70E87">
      <w:pPr>
        <w:tabs>
          <w:tab w:val="left" w:pos="993"/>
        </w:tabs>
        <w:autoSpaceDE w:val="0"/>
        <w:autoSpaceDN w:val="0"/>
        <w:adjustRightInd w:val="0"/>
        <w:spacing w:line="360" w:lineRule="auto"/>
        <w:ind w:left="1418" w:hanging="1701"/>
        <w:jc w:val="both"/>
        <w:rPr>
          <w:rFonts w:ascii="Arial" w:hAnsi="Arial" w:cs="Arial"/>
        </w:rPr>
      </w:pPr>
      <w:r w:rsidRPr="00D6166C">
        <w:rPr>
          <w:rFonts w:ascii="Arial" w:hAnsi="Arial" w:cs="Arial"/>
          <w:b/>
        </w:rPr>
        <w:t>TERCERO:</w:t>
      </w:r>
      <w:r w:rsidRPr="00D6166C">
        <w:rPr>
          <w:rFonts w:ascii="Arial" w:hAnsi="Arial" w:cs="Arial"/>
          <w:b/>
        </w:rPr>
        <w:tab/>
      </w:r>
      <w:r w:rsidRPr="00D6166C">
        <w:rPr>
          <w:rFonts w:ascii="Arial" w:hAnsi="Arial" w:cs="Arial"/>
          <w:b/>
        </w:rPr>
        <w:tab/>
      </w:r>
      <w:r w:rsidR="00C861AF" w:rsidRPr="00D6166C">
        <w:rPr>
          <w:rFonts w:ascii="Arial" w:hAnsi="Arial" w:cs="Arial"/>
        </w:rPr>
        <w:t xml:space="preserve"> </w:t>
      </w:r>
      <w:r w:rsidR="00D6166C" w:rsidRPr="00D6166C">
        <w:rPr>
          <w:rFonts w:ascii="Arial" w:hAnsi="Arial" w:cs="Arial"/>
          <w:b/>
        </w:rPr>
        <w:t>NOTIFÍCAR</w:t>
      </w:r>
      <w:r w:rsidR="00D6166C" w:rsidRPr="00D6166C">
        <w:rPr>
          <w:rFonts w:ascii="Arial" w:hAnsi="Arial" w:cs="Arial"/>
        </w:rPr>
        <w:t xml:space="preserve"> por Estado la presente decisión, de conformidad a lo dispuesto en el </w:t>
      </w:r>
      <w:r w:rsidR="00D6166C" w:rsidRPr="00D6166C">
        <w:rPr>
          <w:rFonts w:ascii="Arial" w:hAnsi="Arial" w:cs="Arial"/>
          <w:iCs/>
          <w:color w:val="000000"/>
        </w:rPr>
        <w:t xml:space="preserve">artículo 10º de la Ley 1476 de 2011, en concordancia con el artículo </w:t>
      </w:r>
      <w:r w:rsidR="00D6166C" w:rsidRPr="00D6166C">
        <w:rPr>
          <w:rFonts w:ascii="Arial" w:hAnsi="Arial" w:cs="Arial"/>
        </w:rPr>
        <w:t>295 de la Ley 1564 de 2012.</w:t>
      </w:r>
    </w:p>
    <w:p w14:paraId="58263EEE" w14:textId="77777777" w:rsidR="00D6166C" w:rsidRPr="00D6166C" w:rsidRDefault="00D6166C" w:rsidP="00C70E87">
      <w:pPr>
        <w:tabs>
          <w:tab w:val="left" w:pos="1418"/>
        </w:tabs>
        <w:autoSpaceDE w:val="0"/>
        <w:autoSpaceDN w:val="0"/>
        <w:adjustRightInd w:val="0"/>
        <w:spacing w:line="360" w:lineRule="auto"/>
        <w:ind w:left="1418" w:hanging="1701"/>
        <w:jc w:val="both"/>
        <w:rPr>
          <w:rFonts w:ascii="Arial" w:hAnsi="Arial" w:cs="Arial"/>
          <w:lang w:val="es-CO"/>
        </w:rPr>
      </w:pPr>
    </w:p>
    <w:p w14:paraId="4E491996" w14:textId="77777777" w:rsidR="00C861AF" w:rsidRDefault="00C861AF" w:rsidP="00C70E87">
      <w:pPr>
        <w:tabs>
          <w:tab w:val="left" w:pos="1418"/>
        </w:tabs>
        <w:autoSpaceDE w:val="0"/>
        <w:autoSpaceDN w:val="0"/>
        <w:adjustRightInd w:val="0"/>
        <w:spacing w:line="360" w:lineRule="auto"/>
        <w:ind w:left="1418"/>
        <w:jc w:val="both"/>
        <w:rPr>
          <w:rFonts w:ascii="Arial" w:hAnsi="Arial" w:cs="Arial"/>
        </w:rPr>
      </w:pPr>
    </w:p>
    <w:p w14:paraId="65676343" w14:textId="77777777" w:rsidR="00C861AF" w:rsidRPr="00AC4792" w:rsidRDefault="00D6166C" w:rsidP="00C70E87">
      <w:pPr>
        <w:tabs>
          <w:tab w:val="left" w:pos="1701"/>
        </w:tabs>
        <w:autoSpaceDE w:val="0"/>
        <w:autoSpaceDN w:val="0"/>
        <w:adjustRightInd w:val="0"/>
        <w:spacing w:line="360" w:lineRule="auto"/>
        <w:ind w:left="-142"/>
        <w:jc w:val="both"/>
        <w:rPr>
          <w:rFonts w:ascii="Arial" w:hAnsi="Arial" w:cs="Arial"/>
        </w:rPr>
      </w:pPr>
      <w:r>
        <w:rPr>
          <w:rFonts w:ascii="Arial" w:hAnsi="Arial" w:cs="Arial"/>
          <w:b/>
        </w:rPr>
        <w:t>CUART</w:t>
      </w:r>
      <w:r w:rsidR="00C861AF" w:rsidRPr="00C16353">
        <w:rPr>
          <w:rFonts w:ascii="Arial" w:hAnsi="Arial" w:cs="Arial"/>
          <w:b/>
        </w:rPr>
        <w:t>O:</w:t>
      </w:r>
      <w:r w:rsidR="00C861AF">
        <w:rPr>
          <w:rFonts w:ascii="Arial" w:hAnsi="Arial" w:cs="Arial"/>
        </w:rPr>
        <w:tab/>
      </w:r>
      <w:r w:rsidR="00C861AF" w:rsidRPr="00787CC5">
        <w:rPr>
          <w:rFonts w:ascii="Arial" w:hAnsi="Arial" w:cs="Arial"/>
          <w:b/>
        </w:rPr>
        <w:t xml:space="preserve">CONTRA </w:t>
      </w:r>
      <w:r w:rsidR="00C861AF" w:rsidRPr="00AC4792">
        <w:rPr>
          <w:rFonts w:ascii="Arial" w:hAnsi="Arial" w:cs="Arial"/>
        </w:rPr>
        <w:t>la presente decisión no proceden recursos.</w:t>
      </w:r>
    </w:p>
    <w:p w14:paraId="4A57DE07" w14:textId="77777777" w:rsidR="00863BC4" w:rsidRDefault="00863BC4" w:rsidP="00C70E87">
      <w:pPr>
        <w:spacing w:line="360" w:lineRule="auto"/>
        <w:ind w:left="1418" w:hanging="1701"/>
        <w:jc w:val="both"/>
        <w:rPr>
          <w:rFonts w:ascii="Arial" w:hAnsi="Arial" w:cs="Arial"/>
        </w:rPr>
      </w:pPr>
    </w:p>
    <w:p w14:paraId="27ED8078" w14:textId="77777777" w:rsidR="00C861AF" w:rsidRPr="00C27A02" w:rsidRDefault="00C861AF" w:rsidP="006043D2">
      <w:pPr>
        <w:spacing w:line="360" w:lineRule="auto"/>
        <w:ind w:left="1701" w:hanging="1701"/>
        <w:jc w:val="both"/>
        <w:rPr>
          <w:rFonts w:ascii="Arial" w:hAnsi="Arial" w:cs="Arial"/>
        </w:rPr>
      </w:pPr>
    </w:p>
    <w:p w14:paraId="5D6651D6"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rPr>
        <w:t>RADÍQUESE, NOTIFÍQUESE Y CÚMPLASE.</w:t>
      </w:r>
    </w:p>
    <w:p w14:paraId="398F3DD2" w14:textId="77777777" w:rsidR="00D82D06" w:rsidRPr="00AC091D" w:rsidRDefault="00D82D06" w:rsidP="006043D2">
      <w:pPr>
        <w:pStyle w:val="Ttulo"/>
        <w:spacing w:line="360" w:lineRule="auto"/>
        <w:ind w:right="51"/>
        <w:jc w:val="both"/>
        <w:rPr>
          <w:rFonts w:ascii="Century Gothic" w:hAnsi="Century Gothic"/>
          <w:b/>
          <w:sz w:val="24"/>
          <w:szCs w:val="24"/>
        </w:rPr>
      </w:pPr>
    </w:p>
    <w:p w14:paraId="1C77559C" w14:textId="77777777" w:rsidR="0000448A" w:rsidRPr="00AC091D" w:rsidRDefault="0000448A" w:rsidP="006043D2">
      <w:pPr>
        <w:pStyle w:val="Ttulo"/>
        <w:spacing w:line="360" w:lineRule="auto"/>
        <w:ind w:right="51"/>
        <w:jc w:val="both"/>
        <w:rPr>
          <w:rFonts w:ascii="Century Gothic" w:hAnsi="Century Gothic"/>
          <w:b/>
          <w:sz w:val="24"/>
          <w:szCs w:val="24"/>
        </w:rPr>
      </w:pPr>
    </w:p>
    <w:p w14:paraId="291C0542" w14:textId="77777777" w:rsidR="00863BC4" w:rsidRPr="00B53173" w:rsidRDefault="00863BC4" w:rsidP="006043D2">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14:paraId="330288AC" w14:textId="77777777" w:rsidR="00863BC4" w:rsidRPr="00B53173" w:rsidRDefault="00863BC4" w:rsidP="006043D2">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Cargo del Funcionario Competente …)</w:t>
      </w:r>
    </w:p>
    <w:p w14:paraId="267672C5" w14:textId="6ACDC70F" w:rsidR="00D82D06" w:rsidRPr="00B53173" w:rsidRDefault="00863BC4" w:rsidP="006043D2">
      <w:pPr>
        <w:pStyle w:val="Ttulo"/>
        <w:spacing w:line="360" w:lineRule="auto"/>
        <w:ind w:right="51"/>
        <w:rPr>
          <w:rFonts w:ascii="Arial" w:hAnsi="Arial" w:cs="Arial"/>
          <w:sz w:val="26"/>
          <w:szCs w:val="26"/>
        </w:rPr>
      </w:pPr>
      <w:r w:rsidRPr="00B53173">
        <w:rPr>
          <w:rFonts w:ascii="Arial" w:hAnsi="Arial" w:cs="Arial"/>
          <w:sz w:val="26"/>
          <w:szCs w:val="26"/>
        </w:rPr>
        <w:t>Funcionario Competente</w:t>
      </w:r>
    </w:p>
    <w:p w14:paraId="489E9D0F" w14:textId="77777777" w:rsidR="005B5267" w:rsidRPr="00AC091D" w:rsidRDefault="005B5267" w:rsidP="00D82D06">
      <w:pPr>
        <w:pStyle w:val="Ttulo"/>
        <w:spacing w:line="360" w:lineRule="auto"/>
        <w:ind w:right="51"/>
        <w:rPr>
          <w:rFonts w:ascii="Arial" w:hAnsi="Arial" w:cs="Arial"/>
          <w:b/>
          <w:color w:val="BFBFBF"/>
          <w:sz w:val="26"/>
          <w:szCs w:val="26"/>
        </w:rPr>
      </w:pPr>
    </w:p>
    <w:p w14:paraId="07FC1913" w14:textId="77777777" w:rsidR="002B30E2" w:rsidRPr="006043D2" w:rsidRDefault="002B30E2" w:rsidP="006043D2">
      <w:pPr>
        <w:pStyle w:val="Ttulo1"/>
        <w:spacing w:line="360" w:lineRule="auto"/>
        <w:jc w:val="left"/>
        <w:rPr>
          <w:rFonts w:ascii="Arial" w:hAnsi="Arial" w:cs="Arial"/>
          <w:b/>
          <w:bCs/>
          <w:sz w:val="16"/>
          <w:szCs w:val="16"/>
        </w:rPr>
      </w:pPr>
      <w:r w:rsidRPr="006043D2">
        <w:rPr>
          <w:rFonts w:ascii="Arial" w:hAnsi="Arial" w:cs="Arial"/>
          <w:b/>
          <w:bCs/>
          <w:sz w:val="16"/>
          <w:szCs w:val="16"/>
        </w:rPr>
        <w:t>Proyectó y Elaboró:</w:t>
      </w:r>
    </w:p>
    <w:p w14:paraId="6D5AB276" w14:textId="77777777" w:rsidR="002B30E2" w:rsidRPr="006043D2" w:rsidRDefault="002B30E2"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proyectó </w:t>
      </w:r>
      <w:r w:rsidR="00297190" w:rsidRPr="006043D2">
        <w:rPr>
          <w:rFonts w:ascii="Arial" w:hAnsi="Arial" w:cs="Arial"/>
          <w:color w:val="BFBFBF"/>
          <w:sz w:val="16"/>
          <w:szCs w:val="16"/>
        </w:rPr>
        <w:t xml:space="preserve">y elaboró </w:t>
      </w:r>
      <w:r w:rsidRPr="006043D2">
        <w:rPr>
          <w:rFonts w:ascii="Arial" w:hAnsi="Arial" w:cs="Arial"/>
          <w:color w:val="BFBFBF"/>
          <w:sz w:val="16"/>
          <w:szCs w:val="16"/>
        </w:rPr>
        <w:t>la providencia …)</w:t>
      </w:r>
    </w:p>
    <w:p w14:paraId="4B7D3A6C" w14:textId="77777777" w:rsidR="00A041C0" w:rsidRPr="006043D2" w:rsidRDefault="00A041C0" w:rsidP="006043D2">
      <w:pPr>
        <w:spacing w:line="360" w:lineRule="auto"/>
        <w:rPr>
          <w:sz w:val="16"/>
          <w:szCs w:val="16"/>
          <w:lang w:val="es-CO"/>
        </w:rPr>
      </w:pPr>
    </w:p>
    <w:p w14:paraId="1E372E42" w14:textId="77777777" w:rsidR="005E0DC1" w:rsidRPr="006043D2" w:rsidRDefault="005E0DC1" w:rsidP="006043D2">
      <w:pPr>
        <w:pStyle w:val="Ttulo1"/>
        <w:spacing w:line="360" w:lineRule="auto"/>
        <w:jc w:val="left"/>
        <w:rPr>
          <w:rFonts w:ascii="Arial" w:hAnsi="Arial" w:cs="Arial"/>
          <w:b/>
          <w:bCs/>
          <w:sz w:val="16"/>
          <w:szCs w:val="16"/>
        </w:rPr>
      </w:pPr>
      <w:r w:rsidRPr="006043D2">
        <w:rPr>
          <w:rFonts w:ascii="Arial" w:hAnsi="Arial" w:cs="Arial"/>
          <w:b/>
          <w:bCs/>
          <w:sz w:val="16"/>
          <w:szCs w:val="16"/>
        </w:rPr>
        <w:t>Revisó y Aprobó:</w:t>
      </w:r>
    </w:p>
    <w:p w14:paraId="45F65877" w14:textId="77777777" w:rsidR="005E0DC1" w:rsidRPr="006043D2" w:rsidRDefault="005E0DC1"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w:t>
      </w:r>
      <w:r w:rsidR="00297190" w:rsidRPr="006043D2">
        <w:rPr>
          <w:rFonts w:ascii="Arial" w:hAnsi="Arial" w:cs="Arial"/>
          <w:color w:val="BFBFBF"/>
          <w:sz w:val="16"/>
          <w:szCs w:val="16"/>
        </w:rPr>
        <w:t xml:space="preserve">revisó y aprobó </w:t>
      </w:r>
      <w:r w:rsidRPr="006043D2">
        <w:rPr>
          <w:rFonts w:ascii="Arial" w:hAnsi="Arial" w:cs="Arial"/>
          <w:color w:val="BFBFBF"/>
          <w:sz w:val="16"/>
          <w:szCs w:val="16"/>
        </w:rPr>
        <w:t>la providencia …)</w:t>
      </w:r>
    </w:p>
    <w:p w14:paraId="16ACB9CE" w14:textId="77777777" w:rsidR="002B30E2" w:rsidRPr="006043D2" w:rsidRDefault="002B30E2" w:rsidP="006043D2">
      <w:pPr>
        <w:pStyle w:val="Ttulo"/>
        <w:spacing w:line="360" w:lineRule="auto"/>
        <w:jc w:val="left"/>
        <w:rPr>
          <w:rFonts w:ascii="Century Gothic" w:hAnsi="Century Gothic"/>
          <w:sz w:val="16"/>
          <w:szCs w:val="16"/>
        </w:rPr>
      </w:pPr>
    </w:p>
    <w:p w14:paraId="7B60CEE0" w14:textId="77777777" w:rsidR="0050034A" w:rsidRDefault="0050034A" w:rsidP="006043D2">
      <w:pPr>
        <w:spacing w:line="360" w:lineRule="auto"/>
        <w:jc w:val="both"/>
        <w:rPr>
          <w:rFonts w:ascii="Arial" w:hAnsi="Arial" w:cs="Arial"/>
          <w:b/>
          <w:iCs/>
          <w:sz w:val="20"/>
          <w:szCs w:val="20"/>
          <w:u w:val="single"/>
        </w:rPr>
      </w:pPr>
    </w:p>
    <w:p w14:paraId="4BED6CAC" w14:textId="77777777" w:rsidR="0050034A" w:rsidRDefault="0050034A" w:rsidP="006043D2">
      <w:pPr>
        <w:spacing w:line="360" w:lineRule="auto"/>
        <w:jc w:val="both"/>
        <w:rPr>
          <w:rFonts w:ascii="Arial" w:hAnsi="Arial" w:cs="Arial"/>
          <w:b/>
          <w:iCs/>
          <w:sz w:val="20"/>
          <w:szCs w:val="20"/>
          <w:u w:val="single"/>
        </w:rPr>
      </w:pPr>
    </w:p>
    <w:p w14:paraId="6E6EE1B7" w14:textId="49226D73" w:rsidR="00C8591A" w:rsidRPr="00AC091D" w:rsidRDefault="00C8591A" w:rsidP="006043D2">
      <w:pPr>
        <w:pBdr>
          <w:top w:val="single" w:sz="4" w:space="1" w:color="auto"/>
        </w:pBdr>
        <w:spacing w:line="360" w:lineRule="auto"/>
        <w:jc w:val="both"/>
        <w:rPr>
          <w:rFonts w:ascii="Arial" w:hAnsi="Arial" w:cs="Arial"/>
          <w:sz w:val="20"/>
          <w:szCs w:val="20"/>
        </w:rPr>
      </w:pPr>
      <w:r w:rsidRPr="00AC091D">
        <w:rPr>
          <w:rFonts w:ascii="Arial" w:hAnsi="Arial" w:cs="Arial"/>
          <w:b/>
          <w:iCs/>
          <w:sz w:val="20"/>
          <w:szCs w:val="20"/>
          <w:u w:val="single"/>
        </w:rPr>
        <w:lastRenderedPageBreak/>
        <w:t xml:space="preserve">CONSTANCIA DE </w:t>
      </w:r>
      <w:r w:rsidR="00FF2D2A" w:rsidRPr="00AC091D">
        <w:rPr>
          <w:rFonts w:ascii="Arial" w:hAnsi="Arial" w:cs="Arial"/>
          <w:b/>
          <w:iCs/>
          <w:sz w:val="20"/>
          <w:szCs w:val="20"/>
          <w:u w:val="single"/>
        </w:rPr>
        <w:t>RADICACIÓN</w:t>
      </w:r>
      <w:r w:rsidR="00FF2D2A" w:rsidRPr="00AC091D">
        <w:rPr>
          <w:rFonts w:ascii="Arial" w:hAnsi="Arial" w:cs="Arial"/>
          <w:b/>
          <w:iCs/>
          <w:sz w:val="20"/>
          <w:szCs w:val="20"/>
        </w:rPr>
        <w:t>. -</w:t>
      </w:r>
      <w:r w:rsidRPr="00AC091D">
        <w:rPr>
          <w:rFonts w:ascii="Arial" w:hAnsi="Arial" w:cs="Arial"/>
          <w:b/>
          <w:iCs/>
          <w:sz w:val="20"/>
          <w:szCs w:val="20"/>
        </w:rPr>
        <w:t xml:space="preserve">  </w:t>
      </w:r>
      <w:r w:rsidR="00DD02E4">
        <w:rPr>
          <w:rFonts w:ascii="Arial" w:hAnsi="Arial" w:cs="Arial"/>
          <w:iCs/>
          <w:sz w:val="20"/>
          <w:szCs w:val="20"/>
        </w:rPr>
        <w:t xml:space="preserve">La </w:t>
      </w:r>
      <w:r w:rsidRPr="00AC091D">
        <w:rPr>
          <w:rFonts w:ascii="Arial" w:hAnsi="Arial" w:cs="Arial"/>
          <w:iCs/>
          <w:sz w:val="20"/>
          <w:szCs w:val="20"/>
        </w:rPr>
        <w:t xml:space="preserve">presente </w:t>
      </w:r>
      <w:r w:rsidR="00CE61F4">
        <w:rPr>
          <w:rFonts w:ascii="Arial" w:hAnsi="Arial" w:cs="Arial"/>
          <w:iCs/>
          <w:sz w:val="20"/>
          <w:szCs w:val="20"/>
        </w:rPr>
        <w:t xml:space="preserve">Investigación Administrativa continuará con el radicado único SIDAE N° </w:t>
      </w:r>
      <w:r w:rsidR="00CE61F4" w:rsidRPr="00FF2D2A">
        <w:rPr>
          <w:rFonts w:ascii="Arial" w:hAnsi="Arial" w:cs="Arial"/>
          <w:iCs/>
          <w:color w:val="BFBFBF" w:themeColor="background1" w:themeShade="BF"/>
          <w:sz w:val="20"/>
          <w:szCs w:val="20"/>
        </w:rPr>
        <w:t xml:space="preserve">(Indicar el radicado arrojado del SIJEN) </w:t>
      </w:r>
      <w:r w:rsidR="00CE61F4">
        <w:rPr>
          <w:rFonts w:ascii="Arial" w:hAnsi="Arial" w:cs="Arial"/>
          <w:iCs/>
          <w:sz w:val="20"/>
          <w:szCs w:val="20"/>
        </w:rPr>
        <w:t xml:space="preserve">y el respectivo libro radicador digital que expide el SIJEN. </w:t>
      </w:r>
    </w:p>
    <w:p w14:paraId="2ED62484" w14:textId="77777777" w:rsidR="00B53173" w:rsidRDefault="00B53173" w:rsidP="006043D2">
      <w:pPr>
        <w:spacing w:line="360" w:lineRule="auto"/>
        <w:ind w:left="567" w:hanging="567"/>
        <w:jc w:val="both"/>
        <w:rPr>
          <w:rFonts w:ascii="Arial" w:hAnsi="Arial" w:cs="Arial"/>
          <w:b/>
          <w:color w:val="BFBFBF" w:themeColor="background1" w:themeShade="BF"/>
          <w:lang w:val="es-CO"/>
        </w:rPr>
      </w:pPr>
    </w:p>
    <w:p w14:paraId="40B145EB" w14:textId="77777777" w:rsidR="00C861AF" w:rsidRDefault="00C861AF" w:rsidP="006043D2">
      <w:pPr>
        <w:pStyle w:val="Ttulo"/>
        <w:ind w:left="567" w:hanging="567"/>
        <w:jc w:val="left"/>
        <w:rPr>
          <w:rFonts w:ascii="Arial" w:hAnsi="Arial" w:cs="Arial"/>
          <w:b/>
          <w:bCs/>
          <w:color w:val="BFBFBF" w:themeColor="background1" w:themeShade="BF"/>
          <w:sz w:val="20"/>
        </w:rPr>
      </w:pPr>
    </w:p>
    <w:p w14:paraId="6BD41C23" w14:textId="77777777" w:rsidR="004451F2" w:rsidRPr="001353FC" w:rsidRDefault="004451F2" w:rsidP="006043D2">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14:paraId="43486DC4" w14:textId="77777777" w:rsidR="004451F2" w:rsidRPr="001353FC" w:rsidRDefault="004451F2" w:rsidP="006043D2">
      <w:pPr>
        <w:pStyle w:val="Ttulo"/>
        <w:ind w:left="567" w:hanging="567"/>
        <w:jc w:val="both"/>
        <w:rPr>
          <w:rFonts w:ascii="Arial" w:hAnsi="Arial" w:cs="Arial"/>
          <w:b/>
          <w:bCs/>
          <w:color w:val="BFBFBF" w:themeColor="background1" w:themeShade="BF"/>
          <w:sz w:val="20"/>
        </w:rPr>
      </w:pPr>
    </w:p>
    <w:p w14:paraId="4CA7C634"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14:paraId="5B6B961A"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14:paraId="496A3BC9" w14:textId="3A83AACC"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r w:rsidR="00FF2D2A"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14:paraId="0B846DC8" w14:textId="683C301F"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Pié de Páginas serán en Time New </w:t>
      </w:r>
      <w:r w:rsidR="00FF2D2A"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8, Cursiva.</w:t>
      </w:r>
    </w:p>
    <w:p w14:paraId="72744A60"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14:paraId="725631F8"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14:paraId="6FC7E2EA" w14:textId="77777777" w:rsidR="004451F2" w:rsidRPr="001353FC" w:rsidRDefault="004451F2" w:rsidP="006043D2">
      <w:pPr>
        <w:pStyle w:val="Ttulo"/>
        <w:numPr>
          <w:ilvl w:val="0"/>
          <w:numId w:val="3"/>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14:paraId="62591388"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0E4F313C"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márgenes del documento serán: Superior: 3.0cms., Inferior: 3.0cms., Derecho: 3.0cms. e Izquierdo: 4.0cms.</w:t>
      </w:r>
    </w:p>
    <w:p w14:paraId="0F2082B2"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14:paraId="6D42AD78"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14:paraId="3205C763"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14:paraId="22BEDEEF"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formatos no podrán tener encabezado distinto al correspondiente al Sistema Integrado de Gestión de Calidad.</w:t>
      </w:r>
    </w:p>
    <w:p w14:paraId="0F7B329F" w14:textId="77777777" w:rsidR="002E2E8A" w:rsidRPr="00A2723F" w:rsidRDefault="002E2E8A" w:rsidP="00C861AF">
      <w:pPr>
        <w:pStyle w:val="Ttulo"/>
        <w:jc w:val="both"/>
        <w:rPr>
          <w:rFonts w:ascii="Arial" w:hAnsi="Arial" w:cs="Arial"/>
          <w:color w:val="BFBFBF" w:themeColor="background1" w:themeShade="BF"/>
          <w:sz w:val="22"/>
          <w:szCs w:val="22"/>
        </w:rPr>
      </w:pPr>
    </w:p>
    <w:sectPr w:rsidR="002E2E8A" w:rsidRPr="00A2723F" w:rsidSect="007E1017">
      <w:headerReference w:type="default" r:id="rId8"/>
      <w:footerReference w:type="even" r:id="rId9"/>
      <w:footerReference w:type="default" r:id="rId10"/>
      <w:headerReference w:type="first" r:id="rId11"/>
      <w:pgSz w:w="12240" w:h="20160" w:code="5"/>
      <w:pgMar w:top="1701" w:right="1467" w:bottom="1701" w:left="2268" w:header="56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B3027" w14:textId="77777777" w:rsidR="001F041D" w:rsidRDefault="001F041D" w:rsidP="0026538A">
      <w:r>
        <w:separator/>
      </w:r>
    </w:p>
  </w:endnote>
  <w:endnote w:type="continuationSeparator" w:id="0">
    <w:p w14:paraId="42609BBF" w14:textId="77777777" w:rsidR="001F041D" w:rsidRDefault="001F041D"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DD77E" w14:textId="77777777" w:rsidR="00C70E87" w:rsidRDefault="00C70E87" w:rsidP="00C70E87">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0ED8" w14:textId="7865B2EB" w:rsidR="007E1017" w:rsidRPr="006D7FB3" w:rsidRDefault="00C70E87" w:rsidP="007E1017">
    <w:pPr>
      <w:tabs>
        <w:tab w:val="center" w:pos="4252"/>
        <w:tab w:val="right" w:pos="8504"/>
      </w:tabs>
      <w:jc w:val="center"/>
      <w:rPr>
        <w:rFonts w:ascii="Arial" w:eastAsia="Calibri" w:hAnsi="Arial" w:cs="Arial"/>
        <w:sz w:val="16"/>
        <w:szCs w:val="16"/>
      </w:rPr>
    </w:pPr>
    <w:r>
      <w:rPr>
        <w:noProof/>
        <w:lang w:val="es-MX" w:eastAsia="es-MX"/>
      </w:rPr>
      <w:drawing>
        <wp:anchor distT="0" distB="0" distL="114300" distR="114300" simplePos="0" relativeHeight="251666432" behindDoc="0" locked="0" layoutInCell="1" allowOverlap="1" wp14:anchorId="74294D72" wp14:editId="3083F0FE">
          <wp:simplePos x="0" y="0"/>
          <wp:positionH relativeFrom="margin">
            <wp:posOffset>4903470</wp:posOffset>
          </wp:positionH>
          <wp:positionV relativeFrom="page">
            <wp:posOffset>11918950</wp:posOffset>
          </wp:positionV>
          <wp:extent cx="708660" cy="395605"/>
          <wp:effectExtent l="0" t="0" r="0" b="444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211866398"/>
    <w:bookmarkStart w:id="2" w:name="_Hlk210293931"/>
    <w:r w:rsidR="007E1017" w:rsidRPr="007E1017">
      <w:rPr>
        <w:rFonts w:ascii="Arial" w:eastAsia="Calibri" w:hAnsi="Arial" w:cs="Arial"/>
        <w:sz w:val="16"/>
        <w:szCs w:val="16"/>
      </w:rPr>
      <w:t xml:space="preserve"> </w:t>
    </w:r>
    <w:r w:rsidR="007E1017" w:rsidRPr="006D7FB3">
      <w:rPr>
        <w:rFonts w:ascii="Arial" w:eastAsia="Calibri" w:hAnsi="Arial" w:cs="Arial"/>
        <w:sz w:val="16"/>
        <w:szCs w:val="16"/>
      </w:rPr>
      <w:t>Este documento es propiedad del EJÉRCITO NACIONAL</w:t>
    </w:r>
  </w:p>
  <w:p w14:paraId="6A667A10" w14:textId="77777777" w:rsidR="007E1017" w:rsidRPr="007A0469" w:rsidRDefault="007E1017" w:rsidP="007E1017">
    <w:pPr>
      <w:numPr>
        <w:ilvl w:val="0"/>
        <w:numId w:val="6"/>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1"/>
    <w:bookmarkEnd w:id="2"/>
  </w:p>
  <w:p w14:paraId="6A9513E6" w14:textId="1A0E23BB" w:rsidR="00C70E87" w:rsidRDefault="00C70E87" w:rsidP="007E1017">
    <w:pPr>
      <w:tabs>
        <w:tab w:val="center" w:pos="4252"/>
        <w:tab w:val="right" w:pos="8504"/>
      </w:tabs>
      <w:jc w:val="center"/>
    </w:pPr>
  </w:p>
  <w:p w14:paraId="6EDB23F6" w14:textId="77777777" w:rsidR="003F6727" w:rsidRDefault="003F67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B7D2D" w14:textId="77777777" w:rsidR="001F041D" w:rsidRDefault="001F041D" w:rsidP="0026538A">
      <w:r>
        <w:separator/>
      </w:r>
    </w:p>
  </w:footnote>
  <w:footnote w:type="continuationSeparator" w:id="0">
    <w:p w14:paraId="3462BD87" w14:textId="77777777" w:rsidR="001F041D" w:rsidRDefault="001F041D" w:rsidP="0026538A">
      <w:r>
        <w:continuationSeparator/>
      </w:r>
    </w:p>
  </w:footnote>
  <w:footnote w:id="1">
    <w:p w14:paraId="1E23FBF9" w14:textId="77777777" w:rsidR="003E23E8" w:rsidRPr="003E23E8" w:rsidRDefault="003E23E8" w:rsidP="00FA49E1">
      <w:pPr>
        <w:pStyle w:val="Textonotapie"/>
        <w:ind w:left="-142" w:right="-234"/>
        <w:rPr>
          <w:rFonts w:ascii="Times New Roman" w:hAnsi="Times New Roman"/>
          <w:i/>
          <w:sz w:val="16"/>
          <w:szCs w:val="16"/>
          <w:lang w:val="es-ES"/>
        </w:rPr>
      </w:pPr>
      <w:r w:rsidRPr="003E23E8">
        <w:rPr>
          <w:rStyle w:val="Refdenotaalpie"/>
          <w:rFonts w:ascii="Times New Roman" w:hAnsi="Times New Roman"/>
          <w:i/>
          <w:sz w:val="16"/>
          <w:szCs w:val="16"/>
        </w:rPr>
        <w:footnoteRef/>
      </w:r>
      <w:r w:rsidRPr="003E23E8">
        <w:rPr>
          <w:rFonts w:ascii="Times New Roman" w:hAnsi="Times New Roman"/>
          <w:i/>
          <w:sz w:val="16"/>
          <w:szCs w:val="16"/>
        </w:rPr>
        <w:t xml:space="preserve"> </w:t>
      </w:r>
      <w:r w:rsidRPr="003E23E8">
        <w:rPr>
          <w:rFonts w:ascii="Times New Roman" w:hAnsi="Times New Roman"/>
          <w:i/>
          <w:sz w:val="16"/>
          <w:szCs w:val="16"/>
          <w:lang w:val="es-ES"/>
        </w:rPr>
        <w:t xml:space="preserve">Ley 1476/2011. </w:t>
      </w:r>
      <w:r w:rsidRPr="003E23E8">
        <w:rPr>
          <w:rFonts w:ascii="Times New Roman" w:hAnsi="Times New Roman"/>
          <w:b/>
          <w:bCs/>
          <w:i/>
          <w:color w:val="333333"/>
          <w:sz w:val="16"/>
          <w:szCs w:val="16"/>
          <w:shd w:val="clear" w:color="auto" w:fill="FFFFFF"/>
        </w:rPr>
        <w:t>Artículo 5°. </w:t>
      </w:r>
      <w:r w:rsidRPr="003E23E8">
        <w:rPr>
          <w:rFonts w:ascii="Times New Roman" w:hAnsi="Times New Roman"/>
          <w:b/>
          <w:bCs/>
          <w:i/>
          <w:iCs/>
          <w:color w:val="333333"/>
          <w:sz w:val="16"/>
          <w:szCs w:val="16"/>
          <w:shd w:val="clear" w:color="auto" w:fill="FFFFFF"/>
        </w:rPr>
        <w:t>Debido proceso.</w:t>
      </w:r>
      <w:r w:rsidRPr="003E23E8">
        <w:rPr>
          <w:rFonts w:ascii="Times New Roman" w:hAnsi="Times New Roman"/>
          <w:i/>
          <w:iCs/>
          <w:color w:val="333333"/>
          <w:sz w:val="16"/>
          <w:szCs w:val="16"/>
          <w:shd w:val="clear" w:color="auto" w:fill="FFFFFF"/>
        </w:rPr>
        <w:t xml:space="preserve"> “</w:t>
      </w:r>
      <w:r w:rsidRPr="003E23E8">
        <w:rPr>
          <w:rFonts w:ascii="Times New Roman" w:hAnsi="Times New Roman"/>
          <w:i/>
          <w:color w:val="333333"/>
          <w:sz w:val="16"/>
          <w:szCs w:val="16"/>
          <w:shd w:val="clear" w:color="auto" w:fill="FFFFFF"/>
        </w:rPr>
        <w:t>El destinatario de la actuación administrativa será procesado conforme a las leyes sustantivas y procesales preexistentes al acto que se le atribuya, ante funcionario competente previamente establecido y observando la plenitud de las formas del procedimiento regulado en la Constitución Política y en esta ley.”</w:t>
      </w:r>
    </w:p>
  </w:footnote>
  <w:footnote w:id="2">
    <w:p w14:paraId="65863494" w14:textId="77777777" w:rsidR="003E23E8" w:rsidRPr="003E23E8" w:rsidRDefault="003E23E8" w:rsidP="00FA49E1">
      <w:pPr>
        <w:pStyle w:val="Textonotapie"/>
        <w:ind w:left="-142" w:right="-234"/>
        <w:rPr>
          <w:rFonts w:ascii="Times New Roman" w:hAnsi="Times New Roman"/>
          <w:i/>
          <w:sz w:val="16"/>
          <w:szCs w:val="16"/>
        </w:rPr>
      </w:pPr>
      <w:r w:rsidRPr="003E23E8">
        <w:rPr>
          <w:rStyle w:val="Refdenotaalpie"/>
          <w:rFonts w:ascii="Times New Roman" w:hAnsi="Times New Roman"/>
          <w:i/>
          <w:sz w:val="16"/>
          <w:szCs w:val="16"/>
        </w:rPr>
        <w:footnoteRef/>
      </w:r>
      <w:r w:rsidRPr="003E23E8">
        <w:rPr>
          <w:rFonts w:ascii="Times New Roman" w:hAnsi="Times New Roman"/>
          <w:i/>
          <w:sz w:val="16"/>
          <w:szCs w:val="16"/>
        </w:rPr>
        <w:t xml:space="preserve"> </w:t>
      </w:r>
      <w:r w:rsidRPr="003E23E8">
        <w:rPr>
          <w:rFonts w:ascii="Times New Roman" w:hAnsi="Times New Roman"/>
          <w:i/>
          <w:sz w:val="16"/>
          <w:szCs w:val="16"/>
          <w:lang w:val="es-ES"/>
        </w:rPr>
        <w:t xml:space="preserve">Ibíd. </w:t>
      </w:r>
      <w:r w:rsidRPr="003E23E8">
        <w:rPr>
          <w:rFonts w:ascii="Times New Roman" w:hAnsi="Times New Roman"/>
          <w:b/>
          <w:bCs/>
          <w:i/>
          <w:sz w:val="16"/>
          <w:szCs w:val="16"/>
        </w:rPr>
        <w:t>Artículo 21. </w:t>
      </w:r>
      <w:r w:rsidRPr="003E23E8">
        <w:rPr>
          <w:rFonts w:ascii="Times New Roman" w:hAnsi="Times New Roman"/>
          <w:b/>
          <w:bCs/>
          <w:i/>
          <w:iCs/>
          <w:sz w:val="16"/>
          <w:szCs w:val="16"/>
        </w:rPr>
        <w:t>Competencia por la cuantía.</w:t>
      </w:r>
      <w:r>
        <w:rPr>
          <w:rFonts w:ascii="Times New Roman" w:hAnsi="Times New Roman"/>
          <w:i/>
          <w:iCs/>
          <w:sz w:val="16"/>
          <w:szCs w:val="16"/>
        </w:rPr>
        <w:t xml:space="preserve"> “</w:t>
      </w:r>
      <w:r w:rsidRPr="003E23E8">
        <w:rPr>
          <w:rFonts w:ascii="Times New Roman" w:hAnsi="Times New Roman"/>
          <w:i/>
          <w:sz w:val="16"/>
          <w:szCs w:val="16"/>
        </w:rPr>
        <w:t>Determínense las siguientes autoridades para fallar los procesos administrativos:</w:t>
      </w:r>
    </w:p>
    <w:p w14:paraId="689C09A6"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1</w:t>
      </w:r>
    </w:p>
    <w:p w14:paraId="452B171F"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2.3 Comandos de Fuerza</w:t>
      </w:r>
    </w:p>
    <w:p w14:paraId="2122D6BB"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2.3.1 Ejército Nacional</w:t>
      </w:r>
    </w:p>
    <w:p w14:paraId="50948EF0"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las Direcciones y demás componentes orgánicos de las Jefaturas del Cuartel General del Comando del Ejército fallará en primera instancia el Director, Comandante o su equivalente. En segunda instancia fallará el Jefe de la respectiva Jefatura.</w:t>
      </w:r>
    </w:p>
    <w:p w14:paraId="6E3C6035"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las demás dependencias orgánicas del Cuartel General del Comando del Ejército fallará en primera instancia el Ayudante General del Comando del Ejército. En segunda instancia el Segundo Comandante del Ejército.</w:t>
      </w:r>
    </w:p>
    <w:p w14:paraId="1D43B4FC"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las Zonas de Reclutamiento fallará en primera instancia el Comandante de la Zona. En segunda instancia el Director de Reclutamiento y Control Reservas.</w:t>
      </w:r>
    </w:p>
    <w:p w14:paraId="4982F865"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2.3.1.1 Unidades Militares</w:t>
      </w:r>
    </w:p>
    <w:p w14:paraId="40801428"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las Unidades operativas mayores o su equivalente fallará en primera instancia el Jefe de Estado Mayor. En segunda instancia el Segundo Comandante del Ejército.</w:t>
      </w:r>
    </w:p>
    <w:p w14:paraId="0C9217BA"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las Unidades operativas menores, tácticas y técnicas del Ejército Nacional o sus equivalentes fallará en primera instancia el Segundo Comandante, Ejecutivo o su equivalente. En segunda instancia fallará el Segundo Comandante de la Unidad orgánica superior.</w:t>
      </w:r>
    </w:p>
    <w:p w14:paraId="5BA50233"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las Escuelas e Institutos de formación de oficiales, suboficiales y soldados profesionales, fallará en primera instancia el Subdirector o su equivalente. En segunda instancia fallará el Director o su equivalente.</w:t>
      </w:r>
    </w:p>
    <w:p w14:paraId="6452513E"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Unidades Militares sin Segundo Comandante, Ejecutivo o sus equivalentes.</w:t>
      </w:r>
    </w:p>
    <w:p w14:paraId="450394E2"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las Unidades que no tienen Segundo Comandante o sus equivalentes fallará en primera instancia el Segundo Comandante de la Unidad Militar de la cual dependan administrativamente.</w:t>
      </w:r>
    </w:p>
    <w:p w14:paraId="35738861"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segunda instancia fallará el Segundo Comandante de la Unidad orgánica superior de quien falló en primera instancia.</w:t>
      </w:r>
    </w:p>
    <w:p w14:paraId="2C43C8C2"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2.3.2 Armada Nacional</w:t>
      </w:r>
    </w:p>
    <w:p w14:paraId="3F7973F2"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las dependencias del cuartel general fallará en primera instancia el Ayudante General del Comando y en segunda instancia el Segundo Comandante.</w:t>
      </w:r>
    </w:p>
    <w:p w14:paraId="3161F0F8"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la Dirección de Sanidad Naval, en primera instancia el Subdirector o quien haga sus veces y en segunda el Director. En el Comando de Infantería de Marina, fallará en primera instancia el Jefe de Estado Mayor y en segunda el Comandante de Infantería de Marina.</w:t>
      </w:r>
    </w:p>
    <w:p w14:paraId="15661CB5"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2.3.2.1 Unidades Militares</w:t>
      </w:r>
    </w:p>
    <w:p w14:paraId="09681197"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todas las Unidades operativas mayores, menores, unidades tácticas y técnicas de la Armada Nacional, las Escuelas e Institutos de formación de oficiales, suboficiales e Infantes de Marina, fallará en primera instancia el Segundo Comandante, Subdirector o su equivalente.</w:t>
      </w:r>
    </w:p>
    <w:p w14:paraId="78778C6B"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segunda instancia, fallará el Comandante, Director o su equivalente.</w:t>
      </w:r>
    </w:p>
    <w:p w14:paraId="1D52D86A"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Los procesos por hechos ocurridos en los establecimientos de Sanidad Militar serán conocidos en primera instancia por el respectivo Director o su equivalente y en segunda por el Subdirector de Sanidad o su equivalente.</w:t>
      </w:r>
    </w:p>
    <w:p w14:paraId="0E451195"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Unidades Militares sin Segundo Comandante, Subdirector o sus equivalentes.</w:t>
      </w:r>
    </w:p>
    <w:p w14:paraId="0AC04804"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En las Unidades que no tienen Segundo Comandante, Subdirector o su equivalente en la Armada Nacional fallará en primera instancia el Comandante de la Unidad Militar y en segunda instancia el Segundo Comandante, Jefe de Estado Mayor o similar de la respectiva Unidad de la cual dependan administrativamente.</w:t>
      </w:r>
    </w:p>
    <w:p w14:paraId="0D976E7D" w14:textId="77777777" w:rsidR="003E23E8" w:rsidRPr="003E23E8" w:rsidRDefault="003E23E8" w:rsidP="00FA49E1">
      <w:pPr>
        <w:pStyle w:val="Textonotapie"/>
        <w:ind w:left="-142" w:right="-234"/>
        <w:rPr>
          <w:rFonts w:ascii="Times New Roman" w:hAnsi="Times New Roman"/>
          <w:i/>
          <w:sz w:val="16"/>
          <w:szCs w:val="16"/>
        </w:rPr>
      </w:pPr>
      <w:r w:rsidRPr="003E23E8">
        <w:rPr>
          <w:rFonts w:ascii="Times New Roman" w:hAnsi="Times New Roman"/>
          <w:i/>
          <w:sz w:val="16"/>
          <w:szCs w:val="16"/>
        </w:rPr>
        <w:t>2</w:t>
      </w:r>
    </w:p>
    <w:p w14:paraId="05766B42" w14:textId="77777777" w:rsidR="003E23E8" w:rsidRPr="003E23E8" w:rsidRDefault="003E23E8" w:rsidP="00FA49E1">
      <w:pPr>
        <w:pStyle w:val="Textonotapie"/>
        <w:ind w:left="-142" w:right="-234"/>
        <w:rPr>
          <w:rFonts w:ascii="Times New Roman" w:hAnsi="Times New Roman"/>
          <w:i/>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552"/>
    </w:tblGrid>
    <w:tr w:rsidR="007E1017" w:rsidRPr="00333E73" w14:paraId="0174206E" w14:textId="77777777" w:rsidTr="007E1017">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7209BAAF" w14:textId="77777777" w:rsidR="007E1017" w:rsidRPr="00555D21" w:rsidRDefault="007E1017" w:rsidP="007E1017">
          <w:pPr>
            <w:pStyle w:val="Sinespaciado"/>
            <w:rPr>
              <w:rFonts w:ascii="Arial" w:hAnsi="Arial" w:cs="Arial"/>
              <w:b/>
              <w:sz w:val="16"/>
              <w:szCs w:val="16"/>
            </w:rPr>
          </w:pPr>
          <w:r>
            <w:rPr>
              <w:noProof/>
              <w:lang w:val="es-MX" w:eastAsia="es-MX"/>
            </w:rPr>
            <w:drawing>
              <wp:anchor distT="0" distB="0" distL="114300" distR="114300" simplePos="0" relativeHeight="251668480" behindDoc="0" locked="0" layoutInCell="1" allowOverlap="1" wp14:anchorId="775A4652" wp14:editId="5D489FCA">
                <wp:simplePos x="0" y="0"/>
                <wp:positionH relativeFrom="column">
                  <wp:posOffset>-55880</wp:posOffset>
                </wp:positionH>
                <wp:positionV relativeFrom="paragraph">
                  <wp:posOffset>13335</wp:posOffset>
                </wp:positionV>
                <wp:extent cx="606425" cy="575945"/>
                <wp:effectExtent l="0" t="0" r="317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14:paraId="7A4BC58E" w14:textId="77777777" w:rsidR="007E1017" w:rsidRPr="00555D21" w:rsidRDefault="007E1017" w:rsidP="007E1017">
          <w:pPr>
            <w:pStyle w:val="Sinespaciado"/>
            <w:rPr>
              <w:rFonts w:ascii="Arial" w:hAnsi="Arial" w:cs="Arial"/>
              <w:b/>
              <w:sz w:val="2"/>
              <w:szCs w:val="16"/>
            </w:rPr>
          </w:pPr>
        </w:p>
        <w:p w14:paraId="47E6CDB3" w14:textId="77777777" w:rsidR="007E1017" w:rsidRPr="00555D21" w:rsidRDefault="007E1017" w:rsidP="007E1017">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7C6E2244" w14:textId="77777777" w:rsidR="007E1017" w:rsidRPr="00555D21" w:rsidRDefault="007E1017" w:rsidP="007E1017">
          <w:pPr>
            <w:pStyle w:val="Sinespaciado"/>
            <w:rPr>
              <w:rFonts w:ascii="Arial" w:hAnsi="Arial" w:cs="Arial"/>
              <w:b/>
              <w:sz w:val="16"/>
              <w:szCs w:val="16"/>
            </w:rPr>
          </w:pPr>
          <w:r w:rsidRPr="00555D21">
            <w:rPr>
              <w:rFonts w:ascii="Arial" w:hAnsi="Arial" w:cs="Arial"/>
              <w:b/>
              <w:sz w:val="16"/>
              <w:szCs w:val="16"/>
            </w:rPr>
            <w:t xml:space="preserve">                     EJÉRCITO NACIONAL</w:t>
          </w:r>
        </w:p>
        <w:p w14:paraId="28258D88" w14:textId="77777777" w:rsidR="007E1017" w:rsidRPr="00555D21" w:rsidRDefault="007E1017" w:rsidP="007E1017">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43B35394" w14:textId="77777777" w:rsidR="007E1017" w:rsidRPr="00333E73" w:rsidRDefault="007E1017" w:rsidP="007E1017">
          <w:pPr>
            <w:pStyle w:val="Sinespaciado"/>
            <w:rPr>
              <w:sz w:val="16"/>
            </w:rPr>
          </w:pPr>
          <w:r w:rsidRPr="00555D21">
            <w:rPr>
              <w:rFonts w:ascii="Arial" w:hAnsi="Arial" w:cs="Arial"/>
              <w:b/>
              <w:sz w:val="16"/>
              <w:szCs w:val="16"/>
            </w:rPr>
            <w:t xml:space="preserve">                     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19A1EF2" w14:textId="77777777" w:rsidR="007E1017" w:rsidRPr="00506A91" w:rsidRDefault="007E1017" w:rsidP="007E1017">
          <w:pPr>
            <w:suppressLineNumbers/>
            <w:tabs>
              <w:tab w:val="center" w:pos="4818"/>
              <w:tab w:val="right" w:pos="9637"/>
            </w:tabs>
            <w:contextualSpacing/>
            <w:jc w:val="center"/>
            <w:rPr>
              <w:rFonts w:ascii="Arial" w:hAnsi="Arial" w:cs="Arial"/>
              <w:b/>
              <w:color w:val="000000" w:themeColor="text1"/>
              <w:sz w:val="16"/>
              <w:szCs w:val="20"/>
            </w:rPr>
          </w:pPr>
          <w:r w:rsidRPr="007E1017">
            <w:rPr>
              <w:rFonts w:ascii="Arial" w:hAnsi="Arial" w:cs="Arial"/>
              <w:b/>
              <w:sz w:val="18"/>
              <w:szCs w:val="20"/>
            </w:rPr>
            <w:t>AUTO DE AVOCO CONOCIMIENTO EN MATERIA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A1FD03" w14:textId="03503844" w:rsidR="007E1017" w:rsidRPr="00333E73" w:rsidRDefault="007E1017" w:rsidP="007E1017">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A85AD0">
            <w:rPr>
              <w:rFonts w:ascii="Arial" w:hAnsi="Arial" w:cs="Arial"/>
              <w:noProof/>
              <w:sz w:val="16"/>
              <w:szCs w:val="16"/>
            </w:rPr>
            <w:t>4</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4</w:t>
          </w:r>
        </w:p>
      </w:tc>
    </w:tr>
    <w:tr w:rsidR="007E1017" w:rsidRPr="00333E73" w14:paraId="2A0D7151" w14:textId="77777777" w:rsidTr="007E1017">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5F0CC23F" w14:textId="77777777" w:rsidR="007E1017" w:rsidRDefault="007E1017" w:rsidP="007E1017">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784E420" w14:textId="77777777" w:rsidR="007E1017" w:rsidRPr="00333E73" w:rsidRDefault="007E1017" w:rsidP="007E1017">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0305A86" w14:textId="77777777" w:rsidR="007E1017" w:rsidRPr="00333E73" w:rsidRDefault="007E1017" w:rsidP="007E1017">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2313</w:t>
          </w:r>
        </w:p>
      </w:tc>
    </w:tr>
    <w:tr w:rsidR="007E1017" w:rsidRPr="00333E73" w14:paraId="6C57DBCF" w14:textId="77777777" w:rsidTr="007E1017">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60C0F176" w14:textId="77777777" w:rsidR="007E1017" w:rsidRDefault="007E1017" w:rsidP="007E1017">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4FC2F2E" w14:textId="77777777" w:rsidR="007E1017" w:rsidRPr="00333E73" w:rsidRDefault="007E1017" w:rsidP="007E1017">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9AAE675" w14:textId="77777777" w:rsidR="007E1017" w:rsidRPr="00333E73" w:rsidRDefault="007E1017" w:rsidP="007E1017">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7E1017" w:rsidRPr="00333E73" w14:paraId="54AC76E6" w14:textId="77777777" w:rsidTr="007E1017">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01989514" w14:textId="77777777" w:rsidR="007E1017" w:rsidRDefault="007E1017" w:rsidP="007E1017">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9BE3ED" w14:textId="77777777" w:rsidR="007E1017" w:rsidRPr="00333E73" w:rsidRDefault="007E1017" w:rsidP="007E1017">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883D5C3" w14:textId="12EA601D" w:rsidR="007E1017" w:rsidRPr="00333E73" w:rsidRDefault="007E1017" w:rsidP="00A85AD0">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Pr="00A85AD0">
            <w:rPr>
              <w:rFonts w:ascii="Arial" w:hAnsi="Arial" w:cs="Arial"/>
              <w:sz w:val="16"/>
              <w:szCs w:val="16"/>
            </w:rPr>
            <w:t>2026-02-</w:t>
          </w:r>
          <w:r w:rsidR="00A85AD0" w:rsidRPr="00A85AD0">
            <w:rPr>
              <w:rFonts w:ascii="Arial" w:hAnsi="Arial" w:cs="Arial"/>
              <w:sz w:val="16"/>
              <w:szCs w:val="16"/>
            </w:rPr>
            <w:t>11</w:t>
          </w:r>
        </w:p>
      </w:tc>
    </w:tr>
  </w:tbl>
  <w:p w14:paraId="14C92341" w14:textId="77777777" w:rsidR="00333E73" w:rsidRPr="0036140D" w:rsidRDefault="00333E73" w:rsidP="00FF2D2A">
    <w:pPr>
      <w:pStyle w:val="Encabezado"/>
      <w:rPr>
        <w:rFonts w:ascii="Arial" w:hAnsi="Arial" w:cs="Arial"/>
      </w:rPr>
    </w:pPr>
  </w:p>
  <w:p w14:paraId="035A289E" w14:textId="77777777" w:rsidR="0036140D" w:rsidRPr="00A35A56" w:rsidRDefault="0036140D" w:rsidP="00C70E87">
    <w:pPr>
      <w:pStyle w:val="Encabezado"/>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835"/>
      <w:gridCol w:w="2693"/>
    </w:tblGrid>
    <w:tr w:rsidR="00B627F9" w14:paraId="0F17CDB5" w14:textId="77777777" w:rsidTr="00333E73">
      <w:trPr>
        <w:trHeight w:val="303"/>
      </w:trPr>
      <w:tc>
        <w:tcPr>
          <w:tcW w:w="4254" w:type="dxa"/>
          <w:vMerge w:val="restart"/>
          <w:tcBorders>
            <w:top w:val="single" w:sz="4" w:space="0" w:color="auto"/>
            <w:left w:val="single" w:sz="4" w:space="0" w:color="auto"/>
            <w:bottom w:val="single" w:sz="4" w:space="0" w:color="auto"/>
            <w:right w:val="single" w:sz="4" w:space="0" w:color="auto"/>
          </w:tcBorders>
          <w:vAlign w:val="center"/>
        </w:tcPr>
        <w:p w14:paraId="45B7E393" w14:textId="77777777" w:rsidR="00B627F9" w:rsidRDefault="00B627F9" w:rsidP="00B627F9">
          <w:pPr>
            <w:spacing w:line="276" w:lineRule="auto"/>
            <w:ind w:left="602" w:hanging="141"/>
            <w:rPr>
              <w:rFonts w:ascii="Arial" w:hAnsi="Arial" w:cs="Arial"/>
              <w:b/>
              <w:bCs/>
              <w:sz w:val="2"/>
              <w:szCs w:val="16"/>
              <w:lang w:eastAsia="en-US"/>
            </w:rPr>
          </w:pPr>
        </w:p>
        <w:p w14:paraId="3AA24AC1" w14:textId="77777777" w:rsidR="00333E73" w:rsidRDefault="00333E73" w:rsidP="00B627F9">
          <w:pPr>
            <w:spacing w:line="276" w:lineRule="auto"/>
            <w:ind w:left="602"/>
            <w:rPr>
              <w:rFonts w:ascii="Arial" w:hAnsi="Arial" w:cs="Arial"/>
              <w:b/>
              <w:bCs/>
              <w:sz w:val="16"/>
              <w:szCs w:val="16"/>
              <w:lang w:eastAsia="en-US"/>
            </w:rPr>
          </w:pPr>
          <w:r>
            <w:rPr>
              <w:noProof/>
              <w:lang w:val="es-MX" w:eastAsia="es-MX"/>
            </w:rPr>
            <w:drawing>
              <wp:anchor distT="0" distB="0" distL="114300" distR="114300" simplePos="0" relativeHeight="251658240" behindDoc="0" locked="0" layoutInCell="1" allowOverlap="1" wp14:anchorId="79ACF2B2" wp14:editId="7AE77FEF">
                <wp:simplePos x="0" y="0"/>
                <wp:positionH relativeFrom="column">
                  <wp:posOffset>-25400</wp:posOffset>
                </wp:positionH>
                <wp:positionV relativeFrom="paragraph">
                  <wp:posOffset>-1905</wp:posOffset>
                </wp:positionV>
                <wp:extent cx="397510" cy="509905"/>
                <wp:effectExtent l="0" t="0" r="2540" b="444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14:paraId="7F1AAB78" w14:textId="77777777" w:rsidR="00B627F9" w:rsidRDefault="00B627F9"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14:paraId="3D31273C" w14:textId="77777777" w:rsidR="00B627F9" w:rsidRDefault="00B627F9" w:rsidP="00B627F9">
          <w:pPr>
            <w:spacing w:line="276" w:lineRule="auto"/>
            <w:ind w:left="602" w:hanging="141"/>
            <w:rPr>
              <w:rFonts w:ascii="Arial" w:hAnsi="Arial" w:cs="Arial"/>
              <w:b/>
              <w:bCs/>
              <w:sz w:val="2"/>
              <w:szCs w:val="16"/>
              <w:lang w:eastAsia="en-US"/>
            </w:rPr>
          </w:pPr>
        </w:p>
        <w:p w14:paraId="21BB0064" w14:textId="77777777" w:rsidR="00B627F9" w:rsidRDefault="00B627F9"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14:paraId="1E0ABCC5" w14:textId="77777777" w:rsidR="0032171E" w:rsidRPr="00333E73" w:rsidRDefault="002173A6" w:rsidP="00333E73">
          <w:pPr>
            <w:spacing w:line="276" w:lineRule="auto"/>
            <w:ind w:left="602"/>
            <w:rPr>
              <w:rFonts w:ascii="Arial" w:hAnsi="Arial" w:cs="Arial"/>
              <w:b/>
              <w:bCs/>
              <w:sz w:val="16"/>
              <w:szCs w:val="16"/>
              <w:lang w:eastAsia="en-US"/>
            </w:rPr>
          </w:pPr>
          <w:r>
            <w:rPr>
              <w:rFonts w:ascii="Arial" w:hAnsi="Arial" w:cs="Arial"/>
              <w:b/>
              <w:bCs/>
              <w:sz w:val="16"/>
              <w:szCs w:val="16"/>
              <w:lang w:eastAsia="en-US"/>
            </w:rPr>
            <w:t>DEPARTAMENTO JURÍDICO INTEGRAL</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1CF88D23" w14:textId="5C286559" w:rsidR="00B627F9" w:rsidRPr="006554F2" w:rsidRDefault="00B627F9" w:rsidP="00EB0EA3">
          <w:pPr>
            <w:suppressLineNumbers/>
            <w:tabs>
              <w:tab w:val="center" w:pos="4818"/>
              <w:tab w:val="right" w:pos="9637"/>
            </w:tabs>
            <w:spacing w:line="276" w:lineRule="auto"/>
            <w:ind w:left="34"/>
            <w:jc w:val="center"/>
            <w:rPr>
              <w:rFonts w:ascii="Arial" w:hAnsi="Arial" w:cs="Arial"/>
              <w:b/>
              <w:color w:val="000000"/>
              <w:sz w:val="28"/>
              <w:szCs w:val="20"/>
              <w:lang w:eastAsia="en-US"/>
            </w:rPr>
          </w:pPr>
          <w:r w:rsidRPr="006554F2">
            <w:rPr>
              <w:rFonts w:ascii="Arial" w:hAnsi="Arial" w:cs="Arial"/>
              <w:b/>
              <w:color w:val="000000"/>
              <w:sz w:val="22"/>
              <w:szCs w:val="20"/>
              <w:lang w:eastAsia="en-US"/>
            </w:rPr>
            <w:t xml:space="preserve">AUTO </w:t>
          </w:r>
          <w:r w:rsidR="00C7198D" w:rsidRPr="006554F2">
            <w:rPr>
              <w:rFonts w:ascii="Arial" w:hAnsi="Arial" w:cs="Arial"/>
              <w:b/>
              <w:color w:val="000000"/>
              <w:sz w:val="22"/>
              <w:szCs w:val="20"/>
              <w:lang w:eastAsia="en-US"/>
            </w:rPr>
            <w:t xml:space="preserve">DE </w:t>
          </w:r>
          <w:r w:rsidR="00ED0219" w:rsidRPr="006554F2">
            <w:rPr>
              <w:rFonts w:ascii="Arial" w:hAnsi="Arial" w:cs="Arial"/>
              <w:b/>
              <w:color w:val="000000"/>
              <w:sz w:val="22"/>
              <w:szCs w:val="20"/>
              <w:lang w:eastAsia="en-US"/>
            </w:rPr>
            <w:t xml:space="preserve">AVOCO CONOCIMIENTO </w:t>
          </w:r>
          <w:r w:rsidR="00C7198D" w:rsidRPr="006554F2">
            <w:rPr>
              <w:rFonts w:ascii="Arial" w:hAnsi="Arial" w:cs="Arial"/>
              <w:b/>
              <w:color w:val="000000"/>
              <w:sz w:val="22"/>
              <w:szCs w:val="20"/>
              <w:lang w:eastAsia="en-US"/>
            </w:rPr>
            <w:t xml:space="preserve">EN MATERIA </w:t>
          </w:r>
          <w:r w:rsidR="00EB0EA3" w:rsidRPr="006554F2">
            <w:rPr>
              <w:rFonts w:ascii="Arial" w:hAnsi="Arial" w:cs="Arial"/>
              <w:b/>
              <w:color w:val="000000"/>
              <w:sz w:val="22"/>
              <w:szCs w:val="20"/>
              <w:lang w:eastAsia="en-US"/>
            </w:rPr>
            <w:t>ADMINISTRATIVA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64B3AB4" w14:textId="35289A57" w:rsidR="00B627F9" w:rsidRPr="006554F2" w:rsidRDefault="00B627F9" w:rsidP="00B627F9">
          <w:pPr>
            <w:spacing w:line="276" w:lineRule="auto"/>
            <w:rPr>
              <w:rFonts w:ascii="Arial" w:hAnsi="Arial" w:cs="Arial"/>
              <w:b/>
              <w:bCs/>
              <w:color w:val="000000"/>
              <w:sz w:val="16"/>
              <w:szCs w:val="16"/>
              <w:lang w:eastAsia="en-US"/>
            </w:rPr>
          </w:pPr>
          <w:r w:rsidRPr="006554F2">
            <w:rPr>
              <w:rFonts w:ascii="Arial" w:hAnsi="Arial" w:cs="Arial"/>
              <w:b/>
              <w:bCs/>
              <w:color w:val="000000"/>
              <w:sz w:val="16"/>
              <w:szCs w:val="16"/>
              <w:lang w:eastAsia="en-US"/>
            </w:rPr>
            <w:t>Pág.</w:t>
          </w:r>
          <w:r w:rsidRPr="006554F2">
            <w:rPr>
              <w:rFonts w:ascii="Arial" w:hAnsi="Arial" w:cs="Arial"/>
              <w:color w:val="000000"/>
              <w:sz w:val="16"/>
              <w:szCs w:val="16"/>
              <w:lang w:eastAsia="en-US"/>
            </w:rPr>
            <w:t xml:space="preserve"> </w:t>
          </w:r>
          <w:r w:rsidRPr="006554F2">
            <w:rPr>
              <w:rFonts w:ascii="Arial" w:hAnsi="Arial" w:cs="Arial"/>
              <w:color w:val="000000"/>
              <w:sz w:val="16"/>
              <w:szCs w:val="16"/>
              <w:lang w:eastAsia="en-US"/>
            </w:rPr>
            <w:fldChar w:fldCharType="begin"/>
          </w:r>
          <w:r w:rsidRPr="006554F2">
            <w:rPr>
              <w:rFonts w:ascii="Arial" w:hAnsi="Arial" w:cs="Arial"/>
              <w:color w:val="000000"/>
              <w:sz w:val="16"/>
              <w:szCs w:val="16"/>
              <w:lang w:eastAsia="en-US"/>
            </w:rPr>
            <w:instrText>PAGE   \* MERGEFORMAT</w:instrText>
          </w:r>
          <w:r w:rsidRPr="006554F2">
            <w:rPr>
              <w:rFonts w:ascii="Arial" w:hAnsi="Arial" w:cs="Arial"/>
              <w:color w:val="000000"/>
              <w:sz w:val="16"/>
              <w:szCs w:val="16"/>
              <w:lang w:eastAsia="en-US"/>
            </w:rPr>
            <w:fldChar w:fldCharType="separate"/>
          </w:r>
          <w:r w:rsidR="00FF2D2A">
            <w:rPr>
              <w:rFonts w:ascii="Arial" w:hAnsi="Arial" w:cs="Arial"/>
              <w:noProof/>
              <w:color w:val="000000"/>
              <w:sz w:val="16"/>
              <w:szCs w:val="16"/>
              <w:lang w:eastAsia="en-US"/>
            </w:rPr>
            <w:t>1</w:t>
          </w:r>
          <w:r w:rsidRPr="006554F2">
            <w:rPr>
              <w:rFonts w:ascii="Arial" w:hAnsi="Arial" w:cs="Arial"/>
              <w:color w:val="000000"/>
              <w:sz w:val="16"/>
              <w:szCs w:val="16"/>
              <w:lang w:eastAsia="en-US"/>
            </w:rPr>
            <w:fldChar w:fldCharType="end"/>
          </w:r>
          <w:r w:rsidRPr="006554F2">
            <w:rPr>
              <w:rFonts w:ascii="Arial" w:hAnsi="Arial" w:cs="Arial"/>
              <w:color w:val="000000"/>
              <w:sz w:val="16"/>
              <w:szCs w:val="16"/>
              <w:lang w:eastAsia="en-US"/>
            </w:rPr>
            <w:t xml:space="preserve"> de </w:t>
          </w:r>
          <w:r w:rsidRPr="006554F2">
            <w:rPr>
              <w:rFonts w:ascii="Arial" w:hAnsi="Arial" w:cs="Arial"/>
              <w:color w:val="000000"/>
              <w:sz w:val="16"/>
              <w:szCs w:val="16"/>
              <w:lang w:eastAsia="en-US"/>
            </w:rPr>
            <w:fldChar w:fldCharType="begin"/>
          </w:r>
          <w:r w:rsidRPr="006554F2">
            <w:rPr>
              <w:rFonts w:ascii="Arial" w:hAnsi="Arial" w:cs="Arial"/>
              <w:color w:val="000000"/>
              <w:sz w:val="16"/>
              <w:szCs w:val="16"/>
              <w:lang w:eastAsia="en-US"/>
            </w:rPr>
            <w:instrText xml:space="preserve"> NUMPAGES   \* MERGEFORMAT </w:instrText>
          </w:r>
          <w:r w:rsidRPr="006554F2">
            <w:rPr>
              <w:rFonts w:ascii="Arial" w:hAnsi="Arial" w:cs="Arial"/>
              <w:color w:val="000000"/>
              <w:sz w:val="16"/>
              <w:szCs w:val="16"/>
              <w:lang w:eastAsia="en-US"/>
            </w:rPr>
            <w:fldChar w:fldCharType="separate"/>
          </w:r>
          <w:r w:rsidR="00395066">
            <w:rPr>
              <w:rFonts w:ascii="Arial" w:hAnsi="Arial" w:cs="Arial"/>
              <w:noProof/>
              <w:color w:val="000000"/>
              <w:sz w:val="16"/>
              <w:szCs w:val="16"/>
              <w:lang w:eastAsia="en-US"/>
            </w:rPr>
            <w:t>4</w:t>
          </w:r>
          <w:r w:rsidRPr="006554F2">
            <w:rPr>
              <w:rFonts w:ascii="Arial" w:hAnsi="Arial" w:cs="Arial"/>
              <w:color w:val="000000"/>
              <w:sz w:val="16"/>
              <w:szCs w:val="16"/>
              <w:lang w:eastAsia="en-US"/>
            </w:rPr>
            <w:fldChar w:fldCharType="end"/>
          </w:r>
        </w:p>
      </w:tc>
    </w:tr>
    <w:tr w:rsidR="00B627F9" w14:paraId="3BA90700" w14:textId="77777777" w:rsidTr="00333E73">
      <w:trPr>
        <w:trHeight w:val="243"/>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1F3B42B7" w14:textId="77777777" w:rsidR="00B627F9" w:rsidRDefault="00B627F9"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F7B3588" w14:textId="77777777" w:rsidR="00B627F9" w:rsidRPr="006554F2" w:rsidRDefault="00B627F9"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4C16E15" w14:textId="300AFCC9" w:rsidR="00B627F9" w:rsidRPr="006554F2" w:rsidRDefault="00B627F9">
          <w:pPr>
            <w:suppressLineNumbers/>
            <w:tabs>
              <w:tab w:val="center" w:pos="4818"/>
              <w:tab w:val="right" w:pos="9637"/>
            </w:tabs>
            <w:spacing w:line="276" w:lineRule="auto"/>
            <w:rPr>
              <w:rFonts w:ascii="Arial" w:hAnsi="Arial" w:cs="Arial"/>
              <w:noProof/>
              <w:color w:val="000000"/>
              <w:sz w:val="16"/>
              <w:szCs w:val="16"/>
              <w:lang w:eastAsia="en-US"/>
            </w:rPr>
          </w:pPr>
          <w:r w:rsidRPr="006554F2">
            <w:rPr>
              <w:rFonts w:ascii="Arial" w:hAnsi="Arial" w:cs="Arial"/>
              <w:b/>
              <w:color w:val="000000"/>
              <w:sz w:val="16"/>
              <w:szCs w:val="16"/>
              <w:lang w:eastAsia="en-US"/>
            </w:rPr>
            <w:t>Código</w:t>
          </w:r>
          <w:r w:rsidRPr="006554F2">
            <w:rPr>
              <w:rFonts w:ascii="Arial" w:hAnsi="Arial" w:cs="Arial"/>
              <w:color w:val="000000"/>
              <w:sz w:val="16"/>
              <w:szCs w:val="16"/>
              <w:lang w:eastAsia="en-US"/>
            </w:rPr>
            <w:t xml:space="preserve">: </w:t>
          </w:r>
          <w:r w:rsidR="00C7198D" w:rsidRPr="006554F2">
            <w:rPr>
              <w:rFonts w:ascii="Arial" w:hAnsi="Arial" w:cs="Arial"/>
              <w:noProof/>
              <w:color w:val="000000"/>
              <w:sz w:val="16"/>
              <w:szCs w:val="16"/>
              <w:lang w:eastAsia="en-US"/>
            </w:rPr>
            <w:t>FO-JEMP</w:t>
          </w:r>
          <w:r w:rsidR="00B74DF1">
            <w:rPr>
              <w:rFonts w:ascii="Arial" w:hAnsi="Arial" w:cs="Arial"/>
              <w:noProof/>
              <w:color w:val="000000"/>
              <w:sz w:val="16"/>
              <w:szCs w:val="16"/>
              <w:lang w:eastAsia="en-US"/>
            </w:rPr>
            <w:t>P</w:t>
          </w:r>
          <w:r w:rsidR="00070B53" w:rsidRPr="006554F2">
            <w:rPr>
              <w:rFonts w:ascii="Arial" w:hAnsi="Arial" w:cs="Arial"/>
              <w:noProof/>
              <w:color w:val="000000"/>
              <w:sz w:val="16"/>
              <w:szCs w:val="16"/>
              <w:lang w:eastAsia="en-US"/>
            </w:rPr>
            <w:t>-</w:t>
          </w:r>
          <w:r w:rsidR="00B74DF1">
            <w:rPr>
              <w:rFonts w:ascii="Arial" w:hAnsi="Arial" w:cs="Arial"/>
              <w:noProof/>
              <w:color w:val="000000"/>
              <w:sz w:val="16"/>
              <w:szCs w:val="16"/>
              <w:lang w:eastAsia="en-US"/>
            </w:rPr>
            <w:t>DADAE</w:t>
          </w:r>
          <w:r w:rsidR="00C7198D" w:rsidRPr="006554F2">
            <w:rPr>
              <w:rFonts w:ascii="Arial" w:hAnsi="Arial" w:cs="Arial"/>
              <w:noProof/>
              <w:color w:val="000000"/>
              <w:sz w:val="16"/>
              <w:szCs w:val="16"/>
              <w:lang w:eastAsia="en-US"/>
            </w:rPr>
            <w:t>-1819</w:t>
          </w:r>
        </w:p>
      </w:tc>
    </w:tr>
    <w:tr w:rsidR="00B627F9" w14:paraId="0D592A38" w14:textId="77777777" w:rsidTr="00333E73">
      <w:trPr>
        <w:trHeight w:val="296"/>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5E7E7014" w14:textId="77777777" w:rsidR="00B627F9" w:rsidRDefault="00B627F9"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39E8A61" w14:textId="77777777" w:rsidR="00B627F9" w:rsidRPr="006554F2" w:rsidRDefault="00B627F9"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42F8048" w14:textId="77777777" w:rsidR="00B627F9" w:rsidRPr="006554F2" w:rsidRDefault="00B627F9" w:rsidP="00B627F9">
          <w:pPr>
            <w:suppressLineNumbers/>
            <w:tabs>
              <w:tab w:val="center" w:pos="4818"/>
              <w:tab w:val="right" w:pos="9637"/>
            </w:tabs>
            <w:spacing w:line="276" w:lineRule="auto"/>
            <w:rPr>
              <w:rFonts w:ascii="Arial" w:hAnsi="Arial" w:cs="Arial"/>
              <w:color w:val="000000"/>
              <w:sz w:val="16"/>
              <w:szCs w:val="16"/>
              <w:lang w:eastAsia="en-US"/>
            </w:rPr>
          </w:pPr>
          <w:r w:rsidRPr="006554F2">
            <w:rPr>
              <w:rFonts w:ascii="Arial" w:hAnsi="Arial" w:cs="Arial"/>
              <w:b/>
              <w:color w:val="000000"/>
              <w:sz w:val="16"/>
              <w:szCs w:val="16"/>
              <w:lang w:eastAsia="en-US"/>
            </w:rPr>
            <w:t>Versión:</w:t>
          </w:r>
          <w:r w:rsidRPr="006554F2">
            <w:rPr>
              <w:rFonts w:ascii="Arial" w:hAnsi="Arial" w:cs="Arial"/>
              <w:color w:val="000000"/>
              <w:sz w:val="16"/>
              <w:szCs w:val="16"/>
              <w:lang w:eastAsia="en-US"/>
            </w:rPr>
            <w:t xml:space="preserve"> 0</w:t>
          </w:r>
        </w:p>
      </w:tc>
    </w:tr>
    <w:tr w:rsidR="00B627F9" w14:paraId="711C1E81" w14:textId="77777777" w:rsidTr="00333E73">
      <w:trPr>
        <w:trHeight w:val="260"/>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30B55493" w14:textId="77777777" w:rsidR="00B627F9" w:rsidRDefault="00B627F9"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7A6804" w14:textId="77777777" w:rsidR="00B627F9" w:rsidRPr="006554F2" w:rsidRDefault="00B627F9"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DF52868" w14:textId="7FFC5C57" w:rsidR="00B627F9" w:rsidRPr="006554F2" w:rsidRDefault="00B627F9" w:rsidP="003E23E8">
          <w:pPr>
            <w:suppressLineNumbers/>
            <w:tabs>
              <w:tab w:val="center" w:pos="4818"/>
              <w:tab w:val="right" w:pos="9637"/>
            </w:tabs>
            <w:spacing w:line="276" w:lineRule="auto"/>
            <w:rPr>
              <w:rFonts w:ascii="Arial" w:hAnsi="Arial" w:cs="Arial"/>
              <w:color w:val="000000"/>
              <w:sz w:val="16"/>
              <w:szCs w:val="16"/>
              <w:lang w:eastAsia="en-US"/>
            </w:rPr>
          </w:pPr>
          <w:r w:rsidRPr="006554F2">
            <w:rPr>
              <w:rFonts w:ascii="Arial" w:hAnsi="Arial" w:cs="Arial"/>
              <w:b/>
              <w:color w:val="000000"/>
              <w:sz w:val="16"/>
              <w:szCs w:val="16"/>
              <w:lang w:eastAsia="en-US"/>
            </w:rPr>
            <w:t xml:space="preserve">Fecha de emisión: </w:t>
          </w:r>
          <w:r w:rsidR="00C7198D" w:rsidRPr="006554F2">
            <w:rPr>
              <w:rFonts w:ascii="Arial" w:hAnsi="Arial" w:cs="Arial"/>
              <w:bCs/>
              <w:color w:val="000000"/>
              <w:sz w:val="16"/>
              <w:szCs w:val="16"/>
              <w:lang w:eastAsia="en-US"/>
            </w:rPr>
            <w:t>2022-10-14</w:t>
          </w:r>
        </w:p>
      </w:tc>
    </w:tr>
  </w:tbl>
  <w:p w14:paraId="5ECB3D76" w14:textId="77777777" w:rsidR="00B627F9" w:rsidRDefault="00B627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448A"/>
    <w:rsid w:val="00006EC3"/>
    <w:rsid w:val="00016885"/>
    <w:rsid w:val="00016BEF"/>
    <w:rsid w:val="00021ED8"/>
    <w:rsid w:val="00022150"/>
    <w:rsid w:val="00025FA6"/>
    <w:rsid w:val="00027791"/>
    <w:rsid w:val="000318BD"/>
    <w:rsid w:val="0003759E"/>
    <w:rsid w:val="0005414E"/>
    <w:rsid w:val="00056E87"/>
    <w:rsid w:val="00064D9C"/>
    <w:rsid w:val="000652D7"/>
    <w:rsid w:val="000676D1"/>
    <w:rsid w:val="00067719"/>
    <w:rsid w:val="00070B53"/>
    <w:rsid w:val="00076388"/>
    <w:rsid w:val="00077E29"/>
    <w:rsid w:val="00080708"/>
    <w:rsid w:val="000822F4"/>
    <w:rsid w:val="0008284F"/>
    <w:rsid w:val="00084235"/>
    <w:rsid w:val="00086B3F"/>
    <w:rsid w:val="00095279"/>
    <w:rsid w:val="0009677D"/>
    <w:rsid w:val="000A48B1"/>
    <w:rsid w:val="000B1D2F"/>
    <w:rsid w:val="000B6186"/>
    <w:rsid w:val="000B69BD"/>
    <w:rsid w:val="000D012E"/>
    <w:rsid w:val="000D267C"/>
    <w:rsid w:val="000D5395"/>
    <w:rsid w:val="000E2896"/>
    <w:rsid w:val="000E2E5C"/>
    <w:rsid w:val="000E36D7"/>
    <w:rsid w:val="000E544D"/>
    <w:rsid w:val="000E6BBD"/>
    <w:rsid w:val="001029C5"/>
    <w:rsid w:val="001105E7"/>
    <w:rsid w:val="00110BC9"/>
    <w:rsid w:val="00111D0A"/>
    <w:rsid w:val="0011343E"/>
    <w:rsid w:val="00113935"/>
    <w:rsid w:val="001168A4"/>
    <w:rsid w:val="00125A23"/>
    <w:rsid w:val="00133584"/>
    <w:rsid w:val="001411E5"/>
    <w:rsid w:val="001415F8"/>
    <w:rsid w:val="001519FC"/>
    <w:rsid w:val="0015347A"/>
    <w:rsid w:val="00165744"/>
    <w:rsid w:val="00166210"/>
    <w:rsid w:val="00170FFB"/>
    <w:rsid w:val="001749D1"/>
    <w:rsid w:val="00181623"/>
    <w:rsid w:val="00187892"/>
    <w:rsid w:val="001927E3"/>
    <w:rsid w:val="00194B9A"/>
    <w:rsid w:val="00196E58"/>
    <w:rsid w:val="001A1DA8"/>
    <w:rsid w:val="001A2980"/>
    <w:rsid w:val="001A39B8"/>
    <w:rsid w:val="001B155D"/>
    <w:rsid w:val="001B6478"/>
    <w:rsid w:val="001B6772"/>
    <w:rsid w:val="001B7242"/>
    <w:rsid w:val="001C7A31"/>
    <w:rsid w:val="001D0252"/>
    <w:rsid w:val="001D4445"/>
    <w:rsid w:val="001D450B"/>
    <w:rsid w:val="001E03E5"/>
    <w:rsid w:val="001E16CF"/>
    <w:rsid w:val="001E3E90"/>
    <w:rsid w:val="001E4CB7"/>
    <w:rsid w:val="001E6CC6"/>
    <w:rsid w:val="001F041D"/>
    <w:rsid w:val="001F053D"/>
    <w:rsid w:val="001F16B0"/>
    <w:rsid w:val="001F55D9"/>
    <w:rsid w:val="00202F98"/>
    <w:rsid w:val="00205B4E"/>
    <w:rsid w:val="0020720D"/>
    <w:rsid w:val="0021429E"/>
    <w:rsid w:val="002173A6"/>
    <w:rsid w:val="00225452"/>
    <w:rsid w:val="00232953"/>
    <w:rsid w:val="0023350E"/>
    <w:rsid w:val="00240393"/>
    <w:rsid w:val="0024208A"/>
    <w:rsid w:val="00242F4B"/>
    <w:rsid w:val="00246C8D"/>
    <w:rsid w:val="00251563"/>
    <w:rsid w:val="00252056"/>
    <w:rsid w:val="00253B2E"/>
    <w:rsid w:val="0026538A"/>
    <w:rsid w:val="00273DC0"/>
    <w:rsid w:val="002754AF"/>
    <w:rsid w:val="002812B9"/>
    <w:rsid w:val="002817B1"/>
    <w:rsid w:val="002912AF"/>
    <w:rsid w:val="00297190"/>
    <w:rsid w:val="002A1ED9"/>
    <w:rsid w:val="002B30E2"/>
    <w:rsid w:val="002C03B2"/>
    <w:rsid w:val="002D0652"/>
    <w:rsid w:val="002D0885"/>
    <w:rsid w:val="002D5E02"/>
    <w:rsid w:val="002E2E8A"/>
    <w:rsid w:val="002E380C"/>
    <w:rsid w:val="002E6C83"/>
    <w:rsid w:val="002F19E7"/>
    <w:rsid w:val="00314F7F"/>
    <w:rsid w:val="0031721E"/>
    <w:rsid w:val="0032171E"/>
    <w:rsid w:val="00321DC7"/>
    <w:rsid w:val="00324265"/>
    <w:rsid w:val="003304A8"/>
    <w:rsid w:val="00333E73"/>
    <w:rsid w:val="00334D66"/>
    <w:rsid w:val="00337149"/>
    <w:rsid w:val="003421CC"/>
    <w:rsid w:val="00343637"/>
    <w:rsid w:val="00343666"/>
    <w:rsid w:val="003451E2"/>
    <w:rsid w:val="0034522F"/>
    <w:rsid w:val="00346E8A"/>
    <w:rsid w:val="003504E0"/>
    <w:rsid w:val="00352374"/>
    <w:rsid w:val="00353692"/>
    <w:rsid w:val="00353852"/>
    <w:rsid w:val="00353900"/>
    <w:rsid w:val="0036140D"/>
    <w:rsid w:val="00364077"/>
    <w:rsid w:val="00371FAD"/>
    <w:rsid w:val="003731CE"/>
    <w:rsid w:val="0037427A"/>
    <w:rsid w:val="00375F18"/>
    <w:rsid w:val="003763DA"/>
    <w:rsid w:val="00382A24"/>
    <w:rsid w:val="00385DEA"/>
    <w:rsid w:val="00385E35"/>
    <w:rsid w:val="00386EC1"/>
    <w:rsid w:val="00394877"/>
    <w:rsid w:val="00395066"/>
    <w:rsid w:val="003A0B89"/>
    <w:rsid w:val="003A0E13"/>
    <w:rsid w:val="003A4C8E"/>
    <w:rsid w:val="003B2E06"/>
    <w:rsid w:val="003B4DB6"/>
    <w:rsid w:val="003B58B3"/>
    <w:rsid w:val="003B7EDD"/>
    <w:rsid w:val="003C657C"/>
    <w:rsid w:val="003D5423"/>
    <w:rsid w:val="003E23E8"/>
    <w:rsid w:val="003E6DB9"/>
    <w:rsid w:val="003E6E8C"/>
    <w:rsid w:val="003E79FA"/>
    <w:rsid w:val="003E7C23"/>
    <w:rsid w:val="003F0C2D"/>
    <w:rsid w:val="003F6727"/>
    <w:rsid w:val="0040122E"/>
    <w:rsid w:val="00402264"/>
    <w:rsid w:val="004058FC"/>
    <w:rsid w:val="00406E67"/>
    <w:rsid w:val="004114BD"/>
    <w:rsid w:val="004131A8"/>
    <w:rsid w:val="0041400B"/>
    <w:rsid w:val="004156D9"/>
    <w:rsid w:val="004237EE"/>
    <w:rsid w:val="004264EC"/>
    <w:rsid w:val="00436DD2"/>
    <w:rsid w:val="004451F2"/>
    <w:rsid w:val="004473E6"/>
    <w:rsid w:val="004501B8"/>
    <w:rsid w:val="004505C7"/>
    <w:rsid w:val="00451E36"/>
    <w:rsid w:val="00461078"/>
    <w:rsid w:val="00463A63"/>
    <w:rsid w:val="004640C7"/>
    <w:rsid w:val="00482A59"/>
    <w:rsid w:val="0048781B"/>
    <w:rsid w:val="0049065D"/>
    <w:rsid w:val="00495420"/>
    <w:rsid w:val="004A0DD6"/>
    <w:rsid w:val="004A439C"/>
    <w:rsid w:val="004B2214"/>
    <w:rsid w:val="004B436E"/>
    <w:rsid w:val="004C4FA6"/>
    <w:rsid w:val="004D31A7"/>
    <w:rsid w:val="004D36D2"/>
    <w:rsid w:val="004D60F6"/>
    <w:rsid w:val="004D7FBD"/>
    <w:rsid w:val="004E2C1C"/>
    <w:rsid w:val="004F0481"/>
    <w:rsid w:val="004F36F2"/>
    <w:rsid w:val="0050034A"/>
    <w:rsid w:val="005076EF"/>
    <w:rsid w:val="00507F54"/>
    <w:rsid w:val="005104D2"/>
    <w:rsid w:val="00522ED9"/>
    <w:rsid w:val="00523AC1"/>
    <w:rsid w:val="0052725B"/>
    <w:rsid w:val="00531076"/>
    <w:rsid w:val="00531C06"/>
    <w:rsid w:val="005351BB"/>
    <w:rsid w:val="00536F7C"/>
    <w:rsid w:val="00537731"/>
    <w:rsid w:val="00541372"/>
    <w:rsid w:val="005428FF"/>
    <w:rsid w:val="00552668"/>
    <w:rsid w:val="00555E6F"/>
    <w:rsid w:val="00561622"/>
    <w:rsid w:val="005619F1"/>
    <w:rsid w:val="0057030D"/>
    <w:rsid w:val="00573FF6"/>
    <w:rsid w:val="00574BD0"/>
    <w:rsid w:val="00574DCD"/>
    <w:rsid w:val="0058013F"/>
    <w:rsid w:val="005821B7"/>
    <w:rsid w:val="00584FF9"/>
    <w:rsid w:val="00585058"/>
    <w:rsid w:val="005A09C1"/>
    <w:rsid w:val="005A3088"/>
    <w:rsid w:val="005B5267"/>
    <w:rsid w:val="005B6143"/>
    <w:rsid w:val="005C0AF6"/>
    <w:rsid w:val="005C1774"/>
    <w:rsid w:val="005C29CA"/>
    <w:rsid w:val="005D0550"/>
    <w:rsid w:val="005D16B7"/>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57"/>
    <w:rsid w:val="00624525"/>
    <w:rsid w:val="00626E2A"/>
    <w:rsid w:val="00627FF8"/>
    <w:rsid w:val="00636A55"/>
    <w:rsid w:val="006446E9"/>
    <w:rsid w:val="00644CA0"/>
    <w:rsid w:val="00650C1B"/>
    <w:rsid w:val="006554F2"/>
    <w:rsid w:val="00655715"/>
    <w:rsid w:val="006571CC"/>
    <w:rsid w:val="0066033A"/>
    <w:rsid w:val="006627D4"/>
    <w:rsid w:val="006679EF"/>
    <w:rsid w:val="006721DB"/>
    <w:rsid w:val="006749D8"/>
    <w:rsid w:val="00690549"/>
    <w:rsid w:val="006A6B7B"/>
    <w:rsid w:val="006C13D2"/>
    <w:rsid w:val="006C16DC"/>
    <w:rsid w:val="006C3A68"/>
    <w:rsid w:val="006D3B87"/>
    <w:rsid w:val="006D6252"/>
    <w:rsid w:val="006D63DA"/>
    <w:rsid w:val="006E273F"/>
    <w:rsid w:val="006E599E"/>
    <w:rsid w:val="006E761B"/>
    <w:rsid w:val="006F1844"/>
    <w:rsid w:val="006F485D"/>
    <w:rsid w:val="006F7AD6"/>
    <w:rsid w:val="007064D5"/>
    <w:rsid w:val="0070684F"/>
    <w:rsid w:val="00714E80"/>
    <w:rsid w:val="00715A83"/>
    <w:rsid w:val="00716728"/>
    <w:rsid w:val="00716EE4"/>
    <w:rsid w:val="00725E48"/>
    <w:rsid w:val="007268A2"/>
    <w:rsid w:val="00730C81"/>
    <w:rsid w:val="00746804"/>
    <w:rsid w:val="007546A2"/>
    <w:rsid w:val="00755F07"/>
    <w:rsid w:val="00756754"/>
    <w:rsid w:val="00760C3B"/>
    <w:rsid w:val="0076463C"/>
    <w:rsid w:val="0076526C"/>
    <w:rsid w:val="007711E1"/>
    <w:rsid w:val="00773655"/>
    <w:rsid w:val="0077580E"/>
    <w:rsid w:val="00780FA0"/>
    <w:rsid w:val="0078124F"/>
    <w:rsid w:val="00786861"/>
    <w:rsid w:val="00786D4D"/>
    <w:rsid w:val="00791EE2"/>
    <w:rsid w:val="00792274"/>
    <w:rsid w:val="00792556"/>
    <w:rsid w:val="007A6534"/>
    <w:rsid w:val="007B23FD"/>
    <w:rsid w:val="007B2935"/>
    <w:rsid w:val="007B3E83"/>
    <w:rsid w:val="007C5DC8"/>
    <w:rsid w:val="007C5FD5"/>
    <w:rsid w:val="007D5819"/>
    <w:rsid w:val="007D66BE"/>
    <w:rsid w:val="007E1017"/>
    <w:rsid w:val="007E5104"/>
    <w:rsid w:val="007E7665"/>
    <w:rsid w:val="007E773E"/>
    <w:rsid w:val="007F46FF"/>
    <w:rsid w:val="007F5307"/>
    <w:rsid w:val="007F77C3"/>
    <w:rsid w:val="00801F8C"/>
    <w:rsid w:val="008030D5"/>
    <w:rsid w:val="0080597F"/>
    <w:rsid w:val="0080665E"/>
    <w:rsid w:val="00807C42"/>
    <w:rsid w:val="00815E30"/>
    <w:rsid w:val="00820182"/>
    <w:rsid w:val="00820774"/>
    <w:rsid w:val="008213BE"/>
    <w:rsid w:val="008217B4"/>
    <w:rsid w:val="008222A1"/>
    <w:rsid w:val="008311FE"/>
    <w:rsid w:val="00846BE1"/>
    <w:rsid w:val="008603C6"/>
    <w:rsid w:val="00862DB6"/>
    <w:rsid w:val="00862ED1"/>
    <w:rsid w:val="00863BC4"/>
    <w:rsid w:val="008656A2"/>
    <w:rsid w:val="0087096A"/>
    <w:rsid w:val="00870E83"/>
    <w:rsid w:val="00873FBE"/>
    <w:rsid w:val="00874B60"/>
    <w:rsid w:val="00876090"/>
    <w:rsid w:val="008860E5"/>
    <w:rsid w:val="00894847"/>
    <w:rsid w:val="00895BA4"/>
    <w:rsid w:val="00897FF2"/>
    <w:rsid w:val="008A1B59"/>
    <w:rsid w:val="008A626B"/>
    <w:rsid w:val="008B3E4A"/>
    <w:rsid w:val="008B49DC"/>
    <w:rsid w:val="008B4A09"/>
    <w:rsid w:val="008C0989"/>
    <w:rsid w:val="008C27E9"/>
    <w:rsid w:val="008C2AB8"/>
    <w:rsid w:val="008C3AC4"/>
    <w:rsid w:val="008C3C9D"/>
    <w:rsid w:val="008D4ED6"/>
    <w:rsid w:val="008D66AC"/>
    <w:rsid w:val="008D674A"/>
    <w:rsid w:val="008D6BF0"/>
    <w:rsid w:val="008E06BD"/>
    <w:rsid w:val="008E21F7"/>
    <w:rsid w:val="008E3391"/>
    <w:rsid w:val="008E4D75"/>
    <w:rsid w:val="008F754B"/>
    <w:rsid w:val="009035BD"/>
    <w:rsid w:val="00905F9F"/>
    <w:rsid w:val="00906983"/>
    <w:rsid w:val="00914A7F"/>
    <w:rsid w:val="009203A3"/>
    <w:rsid w:val="009218EA"/>
    <w:rsid w:val="00921AE6"/>
    <w:rsid w:val="00922458"/>
    <w:rsid w:val="00924340"/>
    <w:rsid w:val="009259A4"/>
    <w:rsid w:val="009271E9"/>
    <w:rsid w:val="00927C0D"/>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61048"/>
    <w:rsid w:val="00963DCB"/>
    <w:rsid w:val="00972DC9"/>
    <w:rsid w:val="00973E7E"/>
    <w:rsid w:val="00981034"/>
    <w:rsid w:val="00981E5E"/>
    <w:rsid w:val="00983807"/>
    <w:rsid w:val="009849DD"/>
    <w:rsid w:val="009914AD"/>
    <w:rsid w:val="009A01CD"/>
    <w:rsid w:val="009A2781"/>
    <w:rsid w:val="009A3EFB"/>
    <w:rsid w:val="009A4E15"/>
    <w:rsid w:val="009A546C"/>
    <w:rsid w:val="009B09D7"/>
    <w:rsid w:val="009B201B"/>
    <w:rsid w:val="009B22C2"/>
    <w:rsid w:val="009B3F3B"/>
    <w:rsid w:val="009B5749"/>
    <w:rsid w:val="009B7CA7"/>
    <w:rsid w:val="009B7D58"/>
    <w:rsid w:val="009C1D6F"/>
    <w:rsid w:val="009C3716"/>
    <w:rsid w:val="009C5CDB"/>
    <w:rsid w:val="009C5EB5"/>
    <w:rsid w:val="009D130C"/>
    <w:rsid w:val="009E0201"/>
    <w:rsid w:val="009E5772"/>
    <w:rsid w:val="009F4070"/>
    <w:rsid w:val="009F4923"/>
    <w:rsid w:val="009F6E4E"/>
    <w:rsid w:val="00A041C0"/>
    <w:rsid w:val="00A15952"/>
    <w:rsid w:val="00A20049"/>
    <w:rsid w:val="00A2723F"/>
    <w:rsid w:val="00A35A56"/>
    <w:rsid w:val="00A41DD1"/>
    <w:rsid w:val="00A46D48"/>
    <w:rsid w:val="00A5178D"/>
    <w:rsid w:val="00A57AB7"/>
    <w:rsid w:val="00A70694"/>
    <w:rsid w:val="00A77824"/>
    <w:rsid w:val="00A82A8B"/>
    <w:rsid w:val="00A834D9"/>
    <w:rsid w:val="00A846C0"/>
    <w:rsid w:val="00A85AD0"/>
    <w:rsid w:val="00A85BFD"/>
    <w:rsid w:val="00A8610E"/>
    <w:rsid w:val="00A86860"/>
    <w:rsid w:val="00A87C18"/>
    <w:rsid w:val="00A91D96"/>
    <w:rsid w:val="00A934F8"/>
    <w:rsid w:val="00A94CCD"/>
    <w:rsid w:val="00AA3247"/>
    <w:rsid w:val="00AA644E"/>
    <w:rsid w:val="00AB16CB"/>
    <w:rsid w:val="00AB6697"/>
    <w:rsid w:val="00AC091D"/>
    <w:rsid w:val="00AC31BC"/>
    <w:rsid w:val="00AD14CE"/>
    <w:rsid w:val="00AD33F3"/>
    <w:rsid w:val="00AD4E3E"/>
    <w:rsid w:val="00AD6438"/>
    <w:rsid w:val="00AD7568"/>
    <w:rsid w:val="00AE4E8F"/>
    <w:rsid w:val="00AE635F"/>
    <w:rsid w:val="00AE7B34"/>
    <w:rsid w:val="00B124E5"/>
    <w:rsid w:val="00B20668"/>
    <w:rsid w:val="00B20D11"/>
    <w:rsid w:val="00B23792"/>
    <w:rsid w:val="00B2382A"/>
    <w:rsid w:val="00B30A12"/>
    <w:rsid w:val="00B35A39"/>
    <w:rsid w:val="00B36D32"/>
    <w:rsid w:val="00B37064"/>
    <w:rsid w:val="00B4279B"/>
    <w:rsid w:val="00B4396C"/>
    <w:rsid w:val="00B46F19"/>
    <w:rsid w:val="00B52378"/>
    <w:rsid w:val="00B52953"/>
    <w:rsid w:val="00B53173"/>
    <w:rsid w:val="00B53BFA"/>
    <w:rsid w:val="00B627F9"/>
    <w:rsid w:val="00B63E6F"/>
    <w:rsid w:val="00B739FC"/>
    <w:rsid w:val="00B74DF1"/>
    <w:rsid w:val="00B80D20"/>
    <w:rsid w:val="00B81903"/>
    <w:rsid w:val="00B82C5E"/>
    <w:rsid w:val="00B8546E"/>
    <w:rsid w:val="00B927F0"/>
    <w:rsid w:val="00B9453D"/>
    <w:rsid w:val="00BA2BD1"/>
    <w:rsid w:val="00BA717C"/>
    <w:rsid w:val="00BA7861"/>
    <w:rsid w:val="00BB1345"/>
    <w:rsid w:val="00BB1B3B"/>
    <w:rsid w:val="00BC2113"/>
    <w:rsid w:val="00BC4EFA"/>
    <w:rsid w:val="00BD5D16"/>
    <w:rsid w:val="00BD7391"/>
    <w:rsid w:val="00BF4036"/>
    <w:rsid w:val="00C06FE2"/>
    <w:rsid w:val="00C10F77"/>
    <w:rsid w:val="00C12C46"/>
    <w:rsid w:val="00C13D6D"/>
    <w:rsid w:val="00C20B1D"/>
    <w:rsid w:val="00C20CB8"/>
    <w:rsid w:val="00C22E28"/>
    <w:rsid w:val="00C27A02"/>
    <w:rsid w:val="00C32397"/>
    <w:rsid w:val="00C33671"/>
    <w:rsid w:val="00C4037A"/>
    <w:rsid w:val="00C41806"/>
    <w:rsid w:val="00C525ED"/>
    <w:rsid w:val="00C532DC"/>
    <w:rsid w:val="00C55BD5"/>
    <w:rsid w:val="00C55D0E"/>
    <w:rsid w:val="00C613A5"/>
    <w:rsid w:val="00C6196B"/>
    <w:rsid w:val="00C63131"/>
    <w:rsid w:val="00C65CD2"/>
    <w:rsid w:val="00C673D4"/>
    <w:rsid w:val="00C70E87"/>
    <w:rsid w:val="00C7198D"/>
    <w:rsid w:val="00C72EDC"/>
    <w:rsid w:val="00C7746C"/>
    <w:rsid w:val="00C804EC"/>
    <w:rsid w:val="00C8103C"/>
    <w:rsid w:val="00C8207D"/>
    <w:rsid w:val="00C852DC"/>
    <w:rsid w:val="00C8591A"/>
    <w:rsid w:val="00C85B32"/>
    <w:rsid w:val="00C861AF"/>
    <w:rsid w:val="00C87034"/>
    <w:rsid w:val="00C877A4"/>
    <w:rsid w:val="00C92DE3"/>
    <w:rsid w:val="00C9492B"/>
    <w:rsid w:val="00CA0768"/>
    <w:rsid w:val="00CA07D8"/>
    <w:rsid w:val="00CA1AA3"/>
    <w:rsid w:val="00CB13D5"/>
    <w:rsid w:val="00CB38A2"/>
    <w:rsid w:val="00CB4D9D"/>
    <w:rsid w:val="00CC1AE4"/>
    <w:rsid w:val="00CC66CB"/>
    <w:rsid w:val="00CC7422"/>
    <w:rsid w:val="00CD26F7"/>
    <w:rsid w:val="00CD616F"/>
    <w:rsid w:val="00CE1AF1"/>
    <w:rsid w:val="00CE49DD"/>
    <w:rsid w:val="00CE61F4"/>
    <w:rsid w:val="00CE7486"/>
    <w:rsid w:val="00CF0459"/>
    <w:rsid w:val="00CF3073"/>
    <w:rsid w:val="00CF4AC7"/>
    <w:rsid w:val="00CF6A52"/>
    <w:rsid w:val="00D00857"/>
    <w:rsid w:val="00D118B4"/>
    <w:rsid w:val="00D128F7"/>
    <w:rsid w:val="00D16A1B"/>
    <w:rsid w:val="00D24963"/>
    <w:rsid w:val="00D3375D"/>
    <w:rsid w:val="00D358D0"/>
    <w:rsid w:val="00D40343"/>
    <w:rsid w:val="00D44A7D"/>
    <w:rsid w:val="00D533FE"/>
    <w:rsid w:val="00D613E2"/>
    <w:rsid w:val="00D6166C"/>
    <w:rsid w:val="00D62846"/>
    <w:rsid w:val="00D7194B"/>
    <w:rsid w:val="00D7655E"/>
    <w:rsid w:val="00D80C02"/>
    <w:rsid w:val="00D82D06"/>
    <w:rsid w:val="00D958EE"/>
    <w:rsid w:val="00D964F7"/>
    <w:rsid w:val="00DA7295"/>
    <w:rsid w:val="00DB00E5"/>
    <w:rsid w:val="00DB2153"/>
    <w:rsid w:val="00DB4550"/>
    <w:rsid w:val="00DC1F88"/>
    <w:rsid w:val="00DC2FA7"/>
    <w:rsid w:val="00DC44EC"/>
    <w:rsid w:val="00DC79BC"/>
    <w:rsid w:val="00DD02E4"/>
    <w:rsid w:val="00DD31D5"/>
    <w:rsid w:val="00DD4E17"/>
    <w:rsid w:val="00DD651D"/>
    <w:rsid w:val="00DD74A5"/>
    <w:rsid w:val="00DD7D64"/>
    <w:rsid w:val="00DE14E1"/>
    <w:rsid w:val="00DE3C09"/>
    <w:rsid w:val="00E06E68"/>
    <w:rsid w:val="00E11D3C"/>
    <w:rsid w:val="00E13237"/>
    <w:rsid w:val="00E160CA"/>
    <w:rsid w:val="00E219D1"/>
    <w:rsid w:val="00E22BDF"/>
    <w:rsid w:val="00E26FD5"/>
    <w:rsid w:val="00E4189C"/>
    <w:rsid w:val="00E540DF"/>
    <w:rsid w:val="00E57042"/>
    <w:rsid w:val="00E60C54"/>
    <w:rsid w:val="00E64F92"/>
    <w:rsid w:val="00E657B2"/>
    <w:rsid w:val="00E669EA"/>
    <w:rsid w:val="00E708F3"/>
    <w:rsid w:val="00E729F3"/>
    <w:rsid w:val="00E75CB7"/>
    <w:rsid w:val="00E7608A"/>
    <w:rsid w:val="00E76B76"/>
    <w:rsid w:val="00E80F66"/>
    <w:rsid w:val="00E811A0"/>
    <w:rsid w:val="00E827AF"/>
    <w:rsid w:val="00E828E7"/>
    <w:rsid w:val="00E83887"/>
    <w:rsid w:val="00E84DAD"/>
    <w:rsid w:val="00EA1FF5"/>
    <w:rsid w:val="00EA75B9"/>
    <w:rsid w:val="00EB0EA3"/>
    <w:rsid w:val="00EC25FA"/>
    <w:rsid w:val="00ED0219"/>
    <w:rsid w:val="00ED714F"/>
    <w:rsid w:val="00EF6299"/>
    <w:rsid w:val="00EF7894"/>
    <w:rsid w:val="00F00C06"/>
    <w:rsid w:val="00F03166"/>
    <w:rsid w:val="00F0346E"/>
    <w:rsid w:val="00F112B4"/>
    <w:rsid w:val="00F121E5"/>
    <w:rsid w:val="00F12CA2"/>
    <w:rsid w:val="00F13D38"/>
    <w:rsid w:val="00F13FF6"/>
    <w:rsid w:val="00F2092A"/>
    <w:rsid w:val="00F20AED"/>
    <w:rsid w:val="00F212B8"/>
    <w:rsid w:val="00F22037"/>
    <w:rsid w:val="00F26611"/>
    <w:rsid w:val="00F27579"/>
    <w:rsid w:val="00F376EA"/>
    <w:rsid w:val="00F42F01"/>
    <w:rsid w:val="00F45B37"/>
    <w:rsid w:val="00F473E3"/>
    <w:rsid w:val="00F52412"/>
    <w:rsid w:val="00F53C36"/>
    <w:rsid w:val="00F576EC"/>
    <w:rsid w:val="00F622C5"/>
    <w:rsid w:val="00F65E64"/>
    <w:rsid w:val="00F70E04"/>
    <w:rsid w:val="00F72935"/>
    <w:rsid w:val="00F835F4"/>
    <w:rsid w:val="00F83D92"/>
    <w:rsid w:val="00F85B08"/>
    <w:rsid w:val="00F8756A"/>
    <w:rsid w:val="00F8756C"/>
    <w:rsid w:val="00F90572"/>
    <w:rsid w:val="00F92275"/>
    <w:rsid w:val="00FA09A7"/>
    <w:rsid w:val="00FA49E1"/>
    <w:rsid w:val="00FA7C76"/>
    <w:rsid w:val="00FB11FF"/>
    <w:rsid w:val="00FD015B"/>
    <w:rsid w:val="00FD3644"/>
    <w:rsid w:val="00FD5B6C"/>
    <w:rsid w:val="00FD7AC6"/>
    <w:rsid w:val="00FE2529"/>
    <w:rsid w:val="00FE25FC"/>
    <w:rsid w:val="00FE6865"/>
    <w:rsid w:val="00FE7D0D"/>
    <w:rsid w:val="00FF0976"/>
    <w:rsid w:val="00FF2D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E2D45"/>
  <w15:docId w15:val="{61331754-9E24-4306-9D51-3EC80D4D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Textodeglobo">
    <w:name w:val="Balloon Text"/>
    <w:basedOn w:val="Normal"/>
    <w:link w:val="TextodegloboCar"/>
    <w:uiPriority w:val="99"/>
    <w:semiHidden/>
    <w:unhideWhenUsed/>
    <w:rsid w:val="00CE61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61F4"/>
    <w:rPr>
      <w:rFonts w:ascii="Segoe UI" w:eastAsia="Times New Roman" w:hAnsi="Segoe UI" w:cs="Segoe UI"/>
      <w:sz w:val="18"/>
      <w:szCs w:val="18"/>
      <w:lang w:val="es-ES" w:eastAsia="es-ES"/>
    </w:rPr>
  </w:style>
  <w:style w:type="paragraph" w:styleId="Sinespaciado">
    <w:name w:val="No Spacing"/>
    <w:link w:val="SinespaciadoCar"/>
    <w:uiPriority w:val="1"/>
    <w:qFormat/>
    <w:rsid w:val="00FF2D2A"/>
    <w:pPr>
      <w:spacing w:after="0" w:line="240" w:lineRule="auto"/>
    </w:pPr>
  </w:style>
  <w:style w:type="character" w:customStyle="1" w:styleId="SinespaciadoCar">
    <w:name w:val="Sin espaciado Car"/>
    <w:link w:val="Sinespaciado"/>
    <w:uiPriority w:val="1"/>
    <w:locked/>
    <w:rsid w:val="007E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697661861">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919513886">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E359-E5C0-4BAE-881D-649B328F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1028</Words>
  <Characters>5659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15</cp:revision>
  <cp:lastPrinted>2026-01-22T20:02:00Z</cp:lastPrinted>
  <dcterms:created xsi:type="dcterms:W3CDTF">2025-11-14T19:13:00Z</dcterms:created>
  <dcterms:modified xsi:type="dcterms:W3CDTF">2026-02-11T20:45:00Z</dcterms:modified>
</cp:coreProperties>
</file>