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D76FE" w14:textId="77777777" w:rsidR="00E64F6A" w:rsidRPr="00E64F6A" w:rsidRDefault="00E64F6A" w:rsidP="00E64F6A">
      <w:pPr>
        <w:jc w:val="center"/>
        <w:rPr>
          <w:rFonts w:ascii="Arial" w:hAnsi="Arial" w:cs="Arial"/>
          <w:b/>
          <w:color w:val="BFBFBF"/>
          <w:sz w:val="26"/>
          <w:szCs w:val="26"/>
          <w:u w:val="single"/>
        </w:rPr>
      </w:pPr>
      <w:r w:rsidRPr="00E64F6A">
        <w:rPr>
          <w:rFonts w:ascii="Arial" w:hAnsi="Arial" w:cs="Arial"/>
          <w:b/>
          <w:color w:val="BFBFBF"/>
          <w:sz w:val="26"/>
          <w:szCs w:val="26"/>
          <w:u w:val="single"/>
        </w:rPr>
        <w:t xml:space="preserve">NOMBRE UNIDAD/DEPENDENCIA AUTORIDAD ADMINISTRATIVA </w:t>
      </w:r>
      <w:bookmarkStart w:id="0" w:name="_GoBack"/>
      <w:bookmarkEnd w:id="0"/>
      <w:r w:rsidRPr="00E64F6A">
        <w:rPr>
          <w:rFonts w:ascii="Arial" w:hAnsi="Arial" w:cs="Arial"/>
          <w:b/>
          <w:color w:val="BFBFBF"/>
          <w:sz w:val="26"/>
          <w:szCs w:val="26"/>
          <w:u w:val="single"/>
        </w:rPr>
        <w:t>COMPETENTE</w:t>
      </w:r>
    </w:p>
    <w:p w14:paraId="47B97B99" w14:textId="77777777" w:rsidR="00C222AE" w:rsidRPr="00032CBC" w:rsidRDefault="00C222AE" w:rsidP="00C222AE">
      <w:pPr>
        <w:spacing w:line="360" w:lineRule="auto"/>
        <w:rPr>
          <w:rFonts w:ascii="Arial" w:eastAsia="SimSun" w:hAnsi="Arial" w:cs="Arial"/>
          <w:b/>
          <w:color w:val="BFBFBF" w:themeColor="background1" w:themeShade="BF"/>
        </w:rPr>
      </w:pPr>
    </w:p>
    <w:p w14:paraId="31C76C15" w14:textId="77777777" w:rsidR="00C222AE" w:rsidRPr="00032CBC" w:rsidRDefault="00C222AE" w:rsidP="00C222AE">
      <w:pPr>
        <w:spacing w:line="360" w:lineRule="auto"/>
        <w:rPr>
          <w:rFonts w:ascii="Arial" w:eastAsia="SimSun" w:hAnsi="Arial" w:cs="Arial"/>
          <w:b/>
          <w:color w:val="BFBFBF" w:themeColor="background1" w:themeShade="BF"/>
        </w:rPr>
      </w:pPr>
    </w:p>
    <w:p w14:paraId="4A8A30C1" w14:textId="77777777" w:rsidR="00C222AE" w:rsidRPr="00032CBC" w:rsidRDefault="00C222AE" w:rsidP="003A2D12">
      <w:pPr>
        <w:spacing w:line="360" w:lineRule="auto"/>
        <w:jc w:val="both"/>
        <w:rPr>
          <w:rFonts w:ascii="Arial" w:hAnsi="Arial" w:cs="Arial"/>
          <w:lang w:val="es-ES_tradnl"/>
        </w:rPr>
      </w:pPr>
      <w:r w:rsidRPr="00032CBC">
        <w:rPr>
          <w:rFonts w:ascii="Arial" w:eastAsia="SimSun" w:hAnsi="Arial" w:cs="Arial"/>
          <w:color w:val="BFBFBF" w:themeColor="background1" w:themeShade="BF"/>
        </w:rPr>
        <w:t xml:space="preserve">Ciudad y Fecha (… Se coloca la </w:t>
      </w:r>
      <w:r w:rsidRPr="00032CBC">
        <w:rPr>
          <w:rFonts w:ascii="Arial" w:hAnsi="Arial" w:cs="Arial"/>
          <w:color w:val="BFBFBF" w:themeColor="background1" w:themeShade="BF"/>
        </w:rPr>
        <w:t xml:space="preserve">Ciudad donde se adelanta la investigación seguida entre paréntesis del Departamento, separados de una coma (,) continua la fecha en letras y números o con fechador </w:t>
      </w:r>
      <w:r w:rsidRPr="00032CBC">
        <w:rPr>
          <w:rFonts w:ascii="Arial" w:eastAsia="SimSun" w:hAnsi="Arial" w:cs="Arial"/>
          <w:color w:val="BFBFBF" w:themeColor="background1" w:themeShade="BF"/>
        </w:rPr>
        <w:t>…).</w:t>
      </w:r>
    </w:p>
    <w:p w14:paraId="7A6346BB" w14:textId="196035C0" w:rsidR="003A2D12" w:rsidRPr="00617B04" w:rsidRDefault="003A2D12" w:rsidP="003A2D12">
      <w:pPr>
        <w:pStyle w:val="Ttulo"/>
        <w:spacing w:line="360" w:lineRule="auto"/>
        <w:jc w:val="left"/>
        <w:rPr>
          <w:rFonts w:ascii="Arial" w:hAnsi="Arial" w:cs="Arial"/>
          <w:b/>
          <w:sz w:val="18"/>
          <w:szCs w:val="24"/>
          <w:u w:val="single"/>
        </w:rPr>
      </w:pPr>
    </w:p>
    <w:p w14:paraId="159D57F4" w14:textId="77777777" w:rsidR="00C222AE" w:rsidRPr="00032CBC" w:rsidRDefault="00C222AE" w:rsidP="003A2D12">
      <w:pPr>
        <w:pStyle w:val="Ttulo"/>
        <w:spacing w:line="360" w:lineRule="auto"/>
        <w:rPr>
          <w:rFonts w:ascii="Arial" w:hAnsi="Arial" w:cs="Arial"/>
          <w:b/>
          <w:sz w:val="24"/>
          <w:szCs w:val="24"/>
          <w:u w:val="single"/>
        </w:rPr>
      </w:pPr>
      <w:r w:rsidRPr="00032CBC">
        <w:rPr>
          <w:rFonts w:ascii="Arial" w:hAnsi="Arial" w:cs="Arial"/>
          <w:b/>
          <w:sz w:val="24"/>
          <w:szCs w:val="24"/>
          <w:u w:val="single"/>
        </w:rPr>
        <w:t>OBJETO A DECIDIR</w:t>
      </w:r>
    </w:p>
    <w:p w14:paraId="5043D5E6" w14:textId="77777777" w:rsidR="00C222AE" w:rsidRPr="00032CBC" w:rsidRDefault="00C222AE" w:rsidP="003A2D12">
      <w:pPr>
        <w:spacing w:line="360" w:lineRule="auto"/>
        <w:rPr>
          <w:rFonts w:ascii="Arial" w:hAnsi="Arial" w:cs="Arial"/>
        </w:rPr>
      </w:pPr>
    </w:p>
    <w:p w14:paraId="5571C37A" w14:textId="4B052AA9" w:rsidR="00C222AE" w:rsidRPr="00032CBC" w:rsidRDefault="00C222AE" w:rsidP="003A2D12">
      <w:pPr>
        <w:pStyle w:val="Sangradetextonormal"/>
        <w:spacing w:line="360" w:lineRule="auto"/>
        <w:ind w:left="0" w:firstLine="0"/>
        <w:rPr>
          <w:rFonts w:cs="Arial"/>
          <w:sz w:val="24"/>
          <w:szCs w:val="24"/>
        </w:rPr>
      </w:pPr>
      <w:r w:rsidRPr="00032CBC">
        <w:rPr>
          <w:rFonts w:cs="Arial"/>
          <w:sz w:val="24"/>
          <w:szCs w:val="24"/>
        </w:rPr>
        <w:t xml:space="preserve">Procede el Despacho a analizar la pertinencia de ordenar la ruptura procesal dentro de la </w:t>
      </w:r>
      <w:r>
        <w:rPr>
          <w:rFonts w:cs="Arial"/>
          <w:sz w:val="24"/>
          <w:szCs w:val="24"/>
        </w:rPr>
        <w:t xml:space="preserve">investigación administrativa </w:t>
      </w:r>
      <w:r w:rsidR="003F02FB">
        <w:rPr>
          <w:rFonts w:cs="Arial"/>
          <w:sz w:val="24"/>
          <w:szCs w:val="24"/>
        </w:rPr>
        <w:t>con radicado único SIDAE N°</w:t>
      </w:r>
      <w:r>
        <w:rPr>
          <w:rFonts w:cs="Arial"/>
          <w:sz w:val="24"/>
          <w:szCs w:val="24"/>
        </w:rPr>
        <w:t xml:space="preserve"> </w:t>
      </w:r>
      <w:r w:rsidRPr="00032CBC">
        <w:rPr>
          <w:rFonts w:cs="Arial"/>
          <w:sz w:val="24"/>
          <w:szCs w:val="24"/>
        </w:rPr>
        <w:t xml:space="preserve"> </w:t>
      </w:r>
      <w:r w:rsidRPr="00032CBC">
        <w:rPr>
          <w:rFonts w:cs="Arial"/>
          <w:color w:val="BFBFBF" w:themeColor="background1" w:themeShade="BF"/>
          <w:sz w:val="24"/>
          <w:szCs w:val="24"/>
        </w:rPr>
        <w:t>(… indicar el radicado</w:t>
      </w:r>
      <w:r>
        <w:rPr>
          <w:rFonts w:cs="Arial"/>
          <w:color w:val="BFBFBF" w:themeColor="background1" w:themeShade="BF"/>
          <w:sz w:val="24"/>
          <w:szCs w:val="24"/>
        </w:rPr>
        <w:t xml:space="preserve"> dado por la plataforma SIJEN</w:t>
      </w:r>
      <w:r w:rsidRPr="00032CBC">
        <w:rPr>
          <w:rFonts w:cs="Arial"/>
          <w:color w:val="BFBFBF" w:themeColor="background1" w:themeShade="BF"/>
          <w:sz w:val="24"/>
          <w:szCs w:val="24"/>
        </w:rPr>
        <w:t>..)</w:t>
      </w:r>
      <w:r w:rsidRPr="00032CBC">
        <w:rPr>
          <w:rFonts w:cs="Arial"/>
          <w:sz w:val="24"/>
          <w:szCs w:val="24"/>
        </w:rPr>
        <w:t xml:space="preserve">, que se cursa en </w:t>
      </w:r>
      <w:r w:rsidRPr="00032CBC">
        <w:rPr>
          <w:rFonts w:cs="Arial"/>
          <w:color w:val="BFBFBF" w:themeColor="background1" w:themeShade="BF"/>
          <w:sz w:val="24"/>
          <w:szCs w:val="24"/>
        </w:rPr>
        <w:t>(… si tiene investigados indicar nombres, apellidos y número de cédula; si se prosigue en averiguación de responsables dejarlo en ese sentido …)</w:t>
      </w:r>
      <w:r w:rsidRPr="00032CBC">
        <w:rPr>
          <w:rFonts w:cs="Arial"/>
          <w:sz w:val="24"/>
          <w:szCs w:val="24"/>
        </w:rPr>
        <w:t xml:space="preserve"> , por los hechos acaecidos el </w:t>
      </w:r>
      <w:r w:rsidRPr="00032CBC">
        <w:rPr>
          <w:rFonts w:cs="Arial"/>
          <w:color w:val="BFBFBF" w:themeColor="background1" w:themeShade="BF"/>
          <w:sz w:val="24"/>
          <w:szCs w:val="24"/>
        </w:rPr>
        <w:t xml:space="preserve">(… Se establece la fecha </w:t>
      </w:r>
      <w:r w:rsidRPr="00032CBC">
        <w:rPr>
          <w:rFonts w:cs="Arial"/>
          <w:i/>
          <w:color w:val="BFBFBF" w:themeColor="background1" w:themeShade="BF"/>
          <w:sz w:val="24"/>
          <w:szCs w:val="24"/>
        </w:rPr>
        <w:t>(Día, Mes y Año)</w:t>
      </w:r>
      <w:r w:rsidRPr="00032CBC">
        <w:rPr>
          <w:rFonts w:cs="Arial"/>
          <w:color w:val="BFBFBF" w:themeColor="background1" w:themeShade="BF"/>
          <w:sz w:val="24"/>
          <w:szCs w:val="24"/>
        </w:rPr>
        <w:t xml:space="preserve"> en que </w:t>
      </w:r>
      <w:r>
        <w:rPr>
          <w:rFonts w:cs="Arial"/>
          <w:color w:val="BFBFBF" w:themeColor="background1" w:themeShade="BF"/>
          <w:sz w:val="24"/>
          <w:szCs w:val="24"/>
        </w:rPr>
        <w:t>se ocasionó la pérdida o el daño</w:t>
      </w:r>
      <w:r w:rsidRPr="00032CBC">
        <w:rPr>
          <w:rFonts w:cs="Arial"/>
          <w:color w:val="BFBFBF" w:themeColor="background1" w:themeShade="BF"/>
          <w:sz w:val="24"/>
          <w:szCs w:val="24"/>
        </w:rPr>
        <w:t>)</w:t>
      </w:r>
      <w:r w:rsidRPr="00032CBC">
        <w:rPr>
          <w:rFonts w:cs="Arial"/>
          <w:sz w:val="24"/>
          <w:szCs w:val="24"/>
        </w:rPr>
        <w:t>, en</w:t>
      </w:r>
      <w:r w:rsidRPr="00032CBC">
        <w:rPr>
          <w:rFonts w:cs="Arial"/>
          <w:color w:val="BFBFBF" w:themeColor="background1" w:themeShade="BF"/>
          <w:sz w:val="24"/>
          <w:szCs w:val="24"/>
        </w:rPr>
        <w:t xml:space="preserve"> (… Se establece el Lugar </w:t>
      </w:r>
      <w:r w:rsidRPr="00032CBC">
        <w:rPr>
          <w:rFonts w:cs="Arial"/>
          <w:i/>
          <w:color w:val="BFBFBF" w:themeColor="background1" w:themeShade="BF"/>
          <w:sz w:val="24"/>
          <w:szCs w:val="24"/>
        </w:rPr>
        <w:t>(Debe ser el sitio exacto, puede ser un Caserío, Vereda, Municipio o un lugar dentro de la Unidad militar)</w:t>
      </w:r>
      <w:r w:rsidRPr="00032CBC">
        <w:rPr>
          <w:rFonts w:cs="Arial"/>
          <w:color w:val="BFBFBF" w:themeColor="background1" w:themeShade="BF"/>
          <w:sz w:val="24"/>
          <w:szCs w:val="24"/>
        </w:rPr>
        <w:t>, donde tuvieron ocurrencia los hechos)</w:t>
      </w:r>
      <w:r w:rsidRPr="00032CBC">
        <w:rPr>
          <w:rFonts w:cs="Arial"/>
          <w:sz w:val="24"/>
          <w:szCs w:val="24"/>
        </w:rPr>
        <w:t xml:space="preserve">, de conformidad con las causales consagradas en el artículo </w:t>
      </w:r>
      <w:r>
        <w:rPr>
          <w:rFonts w:cs="Arial"/>
          <w:sz w:val="24"/>
          <w:szCs w:val="24"/>
        </w:rPr>
        <w:t>41</w:t>
      </w:r>
      <w:r w:rsidRPr="00032CBC">
        <w:rPr>
          <w:rStyle w:val="Refdenotaalpie"/>
          <w:rFonts w:cs="Arial"/>
          <w:sz w:val="24"/>
          <w:szCs w:val="24"/>
        </w:rPr>
        <w:footnoteReference w:id="1"/>
      </w:r>
      <w:r w:rsidRPr="00032CBC">
        <w:rPr>
          <w:rFonts w:cs="Arial"/>
          <w:sz w:val="24"/>
          <w:szCs w:val="24"/>
        </w:rPr>
        <w:t xml:space="preserve"> de la Ley 1862 de 2017 “</w:t>
      </w:r>
      <w:r w:rsidRPr="00032CBC">
        <w:rPr>
          <w:rFonts w:cs="Arial"/>
          <w:i/>
          <w:sz w:val="24"/>
          <w:szCs w:val="24"/>
        </w:rPr>
        <w:t>Por la cual se establecen las normas de conducta del militar colombiano y se expide el Código Disciplinario Militar”</w:t>
      </w:r>
      <w:r w:rsidRPr="00032CBC">
        <w:rPr>
          <w:rFonts w:cs="Arial"/>
          <w:sz w:val="24"/>
          <w:szCs w:val="24"/>
        </w:rPr>
        <w:t>.</w:t>
      </w:r>
    </w:p>
    <w:p w14:paraId="086500E1" w14:textId="77777777" w:rsidR="00C222AE" w:rsidRPr="00032CBC" w:rsidRDefault="00C222AE" w:rsidP="003A2D12">
      <w:pPr>
        <w:spacing w:line="360" w:lineRule="auto"/>
        <w:ind w:right="51"/>
        <w:jc w:val="both"/>
        <w:rPr>
          <w:rFonts w:ascii="Arial" w:hAnsi="Arial" w:cs="Arial"/>
          <w:color w:val="BFBFBF"/>
          <w:lang w:val="es-CO"/>
        </w:rPr>
      </w:pPr>
    </w:p>
    <w:p w14:paraId="25DF7E3F" w14:textId="77777777" w:rsidR="00C222AE" w:rsidRPr="00032CBC" w:rsidRDefault="00C222AE" w:rsidP="003A2D12">
      <w:pPr>
        <w:pStyle w:val="Textoindependiente"/>
        <w:spacing w:line="360" w:lineRule="auto"/>
        <w:jc w:val="center"/>
        <w:rPr>
          <w:rFonts w:cs="Arial"/>
          <w:b/>
          <w:sz w:val="24"/>
          <w:szCs w:val="24"/>
          <w:u w:val="single"/>
        </w:rPr>
      </w:pPr>
      <w:r w:rsidRPr="00032CBC">
        <w:rPr>
          <w:rFonts w:cs="Arial"/>
          <w:b/>
          <w:sz w:val="24"/>
          <w:szCs w:val="24"/>
          <w:u w:val="single"/>
        </w:rPr>
        <w:t>CONSIDERACIONES JURÍDICAS DEL DESPACHO</w:t>
      </w:r>
    </w:p>
    <w:p w14:paraId="09FB0DCF" w14:textId="77777777" w:rsidR="00C222AE" w:rsidRPr="00032CBC" w:rsidRDefault="00C222AE" w:rsidP="003A2D12">
      <w:pPr>
        <w:pStyle w:val="Textoindependiente"/>
        <w:spacing w:line="360" w:lineRule="auto"/>
        <w:jc w:val="center"/>
        <w:rPr>
          <w:rFonts w:cs="Arial"/>
          <w:b/>
          <w:sz w:val="24"/>
          <w:szCs w:val="24"/>
          <w:u w:val="single"/>
        </w:rPr>
      </w:pPr>
    </w:p>
    <w:p w14:paraId="7F4D6648" w14:textId="7DA0F12F" w:rsidR="00C222AE" w:rsidRPr="00032CBC" w:rsidRDefault="00A05F0A" w:rsidP="003A2D12">
      <w:pPr>
        <w:pStyle w:val="Sangradetextonormal"/>
        <w:spacing w:line="360" w:lineRule="auto"/>
        <w:ind w:left="0" w:firstLine="0"/>
        <w:rPr>
          <w:rFonts w:cs="Arial"/>
          <w:bCs/>
          <w:sz w:val="24"/>
          <w:szCs w:val="24"/>
        </w:rPr>
      </w:pPr>
      <w:r>
        <w:rPr>
          <w:rFonts w:cs="Arial"/>
          <w:bCs/>
          <w:sz w:val="24"/>
          <w:szCs w:val="24"/>
        </w:rPr>
        <w:t xml:space="preserve">La ley 1476 de 2011 </w:t>
      </w:r>
      <w:r w:rsidR="00E50C59" w:rsidRPr="007061E7">
        <w:rPr>
          <w:rFonts w:cs="Arial"/>
          <w:bCs/>
          <w:i/>
          <w:sz w:val="24"/>
          <w:szCs w:val="24"/>
        </w:rPr>
        <w:t>“por la cual se expide el régimen de responsabilidad administrativa por pérdida o daño de bienes de propiedad o al servicio del Ministerio de Defensa Nacional, sus entidades adscritas o vinculadas o la Fuerza Pública</w:t>
      </w:r>
      <w:r w:rsidR="00E50C59" w:rsidRPr="007061E7">
        <w:rPr>
          <w:rFonts w:cs="Arial"/>
          <w:b/>
          <w:bCs/>
          <w:i/>
          <w:sz w:val="24"/>
          <w:szCs w:val="24"/>
        </w:rPr>
        <w:t>”</w:t>
      </w:r>
      <w:r w:rsidR="00E50C59">
        <w:rPr>
          <w:rFonts w:cs="Arial"/>
          <w:bCs/>
          <w:sz w:val="24"/>
          <w:szCs w:val="24"/>
        </w:rPr>
        <w:t xml:space="preserve"> consagra en su artículo 41 cuando un proceso</w:t>
      </w:r>
      <w:r w:rsidR="00D26E08">
        <w:rPr>
          <w:rFonts w:cs="Arial"/>
          <w:bCs/>
          <w:sz w:val="24"/>
          <w:szCs w:val="24"/>
        </w:rPr>
        <w:t xml:space="preserve"> </w:t>
      </w:r>
      <w:r w:rsidR="00E50C59">
        <w:rPr>
          <w:rFonts w:cs="Arial"/>
          <w:bCs/>
          <w:sz w:val="24"/>
          <w:szCs w:val="24"/>
        </w:rPr>
        <w:t>se tramita bajo la misma cuerda procesal, el cual reza</w:t>
      </w:r>
      <w:r w:rsidR="00C222AE" w:rsidRPr="00032CBC">
        <w:rPr>
          <w:rFonts w:cs="Arial"/>
          <w:bCs/>
          <w:sz w:val="24"/>
          <w:szCs w:val="24"/>
        </w:rPr>
        <w:t xml:space="preserve">: </w:t>
      </w:r>
    </w:p>
    <w:p w14:paraId="5759DF2D" w14:textId="77777777" w:rsidR="00C222AE" w:rsidRPr="00032CBC" w:rsidRDefault="00C222AE" w:rsidP="003A2D12">
      <w:pPr>
        <w:pStyle w:val="Sangradetextonormal"/>
        <w:spacing w:line="360" w:lineRule="auto"/>
        <w:ind w:left="0" w:firstLine="0"/>
        <w:rPr>
          <w:rFonts w:cs="Arial"/>
          <w:sz w:val="24"/>
          <w:szCs w:val="24"/>
        </w:rPr>
      </w:pPr>
    </w:p>
    <w:p w14:paraId="6A904966" w14:textId="741F8741" w:rsidR="00C222AE" w:rsidRPr="00032CBC" w:rsidRDefault="00C222AE" w:rsidP="003A2D12">
      <w:pPr>
        <w:pStyle w:val="NormalWeb"/>
        <w:spacing w:before="0" w:beforeAutospacing="0" w:after="0" w:afterAutospacing="0" w:line="360" w:lineRule="auto"/>
        <w:jc w:val="both"/>
        <w:rPr>
          <w:rFonts w:ascii="Arial" w:hAnsi="Arial" w:cs="Arial"/>
          <w:i/>
        </w:rPr>
      </w:pPr>
      <w:r w:rsidRPr="00032CBC">
        <w:rPr>
          <w:rFonts w:ascii="Arial" w:hAnsi="Arial" w:cs="Arial"/>
          <w:i/>
          <w:lang w:eastAsia="es-ES"/>
        </w:rPr>
        <w:t>…(..).. “</w:t>
      </w:r>
      <w:r w:rsidR="00E50C59" w:rsidRPr="00E50C59">
        <w:rPr>
          <w:rFonts w:ascii="Arial" w:hAnsi="Arial" w:cs="Arial"/>
          <w:b/>
          <w:bCs/>
          <w:i/>
          <w:lang w:val="es-ES"/>
        </w:rPr>
        <w:t xml:space="preserve">Artículo 41. </w:t>
      </w:r>
      <w:r w:rsidR="00E50C59" w:rsidRPr="00E50C59">
        <w:rPr>
          <w:rFonts w:ascii="Arial" w:hAnsi="Arial" w:cs="Arial"/>
          <w:b/>
          <w:bCs/>
          <w:i/>
          <w:iCs/>
          <w:lang w:val="es-ES"/>
        </w:rPr>
        <w:t>Unidad procesal.</w:t>
      </w:r>
      <w:r w:rsidR="00E50C59" w:rsidRPr="00E50C59">
        <w:rPr>
          <w:rFonts w:ascii="Arial" w:hAnsi="Arial" w:cs="Arial"/>
          <w:i/>
          <w:iCs/>
          <w:lang w:val="es-ES"/>
        </w:rPr>
        <w:t xml:space="preserve"> </w:t>
      </w:r>
      <w:r w:rsidR="00E50C59" w:rsidRPr="00E50C59">
        <w:rPr>
          <w:rFonts w:ascii="Arial" w:hAnsi="Arial" w:cs="Arial"/>
          <w:i/>
          <w:lang w:val="es-ES"/>
        </w:rPr>
        <w:t>Por cada hecho generador de responsabilidad administrativa se adelantará una sola actuación procesal, cualquiera sea el número de implicados; si se estuviera adelantando más de una actuación por el mismo asunto, se dispondrá mediante auto de trámite la agregación de las diligencias a aquellas que se encuentren más adelantadas</w:t>
      </w:r>
      <w:r w:rsidR="00E50C59">
        <w:rPr>
          <w:rFonts w:ascii="Arial" w:hAnsi="Arial" w:cs="Arial"/>
          <w:i/>
          <w:lang w:val="es-ES"/>
        </w:rPr>
        <w:t>.</w:t>
      </w:r>
      <w:r w:rsidR="00864054">
        <w:rPr>
          <w:rFonts w:ascii="Arial" w:hAnsi="Arial" w:cs="Arial"/>
          <w:i/>
          <w:lang w:val="es-ES"/>
        </w:rPr>
        <w:t xml:space="preserve"> </w:t>
      </w:r>
      <w:r w:rsidRPr="00032CBC">
        <w:rPr>
          <w:rFonts w:ascii="Arial" w:hAnsi="Arial" w:cs="Arial"/>
          <w:i/>
        </w:rPr>
        <w:t>(...)</w:t>
      </w:r>
    </w:p>
    <w:p w14:paraId="3C5CBD19" w14:textId="77777777" w:rsidR="00C222AE" w:rsidRPr="00032CBC" w:rsidRDefault="00C222AE" w:rsidP="00C222AE">
      <w:pPr>
        <w:pStyle w:val="Sangradetextonormal"/>
        <w:spacing w:line="360" w:lineRule="auto"/>
        <w:ind w:left="0" w:firstLine="0"/>
        <w:rPr>
          <w:rFonts w:cs="Arial"/>
          <w:sz w:val="24"/>
          <w:szCs w:val="24"/>
        </w:rPr>
      </w:pPr>
    </w:p>
    <w:p w14:paraId="4CCF4943" w14:textId="27FB213A" w:rsidR="00C222AE" w:rsidRPr="00C83CFE" w:rsidRDefault="00C222AE" w:rsidP="00C222AE">
      <w:pPr>
        <w:pStyle w:val="Textonotapie"/>
        <w:spacing w:line="360" w:lineRule="auto"/>
        <w:rPr>
          <w:rFonts w:cs="Arial"/>
          <w:color w:val="auto"/>
          <w:sz w:val="24"/>
          <w:szCs w:val="24"/>
          <w:lang w:eastAsia="es-CO"/>
        </w:rPr>
      </w:pPr>
      <w:r w:rsidRPr="00032CBC">
        <w:rPr>
          <w:rFonts w:cs="Arial"/>
          <w:bCs/>
          <w:sz w:val="24"/>
          <w:szCs w:val="24"/>
        </w:rPr>
        <w:t xml:space="preserve">A la luz de artículo anteriormente citado y previo análisis del material probatorio obrante dentro de la </w:t>
      </w:r>
      <w:r w:rsidR="00864054">
        <w:rPr>
          <w:rFonts w:cs="Arial"/>
          <w:bCs/>
          <w:sz w:val="24"/>
          <w:szCs w:val="24"/>
        </w:rPr>
        <w:t xml:space="preserve">investigación administrativa </w:t>
      </w:r>
      <w:r w:rsidR="003F02FB">
        <w:rPr>
          <w:rFonts w:cs="Arial"/>
          <w:bCs/>
          <w:sz w:val="24"/>
          <w:szCs w:val="24"/>
        </w:rPr>
        <w:t>con radicado único SIDAE N°</w:t>
      </w:r>
      <w:r w:rsidRPr="00032CBC">
        <w:rPr>
          <w:rFonts w:cs="Arial"/>
          <w:bCs/>
          <w:sz w:val="24"/>
          <w:szCs w:val="24"/>
        </w:rPr>
        <w:t xml:space="preserve"> </w:t>
      </w:r>
      <w:r w:rsidRPr="00032CBC">
        <w:rPr>
          <w:rFonts w:cs="Arial"/>
          <w:color w:val="BFBFBF" w:themeColor="background1" w:themeShade="BF"/>
          <w:sz w:val="24"/>
          <w:szCs w:val="24"/>
        </w:rPr>
        <w:lastRenderedPageBreak/>
        <w:t>(</w:t>
      </w:r>
      <w:r>
        <w:rPr>
          <w:rFonts w:cs="Arial"/>
          <w:color w:val="BFBFBF" w:themeColor="background1" w:themeShade="BF"/>
          <w:sz w:val="24"/>
          <w:szCs w:val="24"/>
        </w:rPr>
        <w:t>.</w:t>
      </w:r>
      <w:r w:rsidRPr="00032CBC">
        <w:rPr>
          <w:rFonts w:cs="Arial"/>
          <w:color w:val="BFBFBF" w:themeColor="background1" w:themeShade="BF"/>
          <w:sz w:val="24"/>
          <w:szCs w:val="24"/>
        </w:rPr>
        <w:t>..indicar el radicado</w:t>
      </w:r>
      <w:r w:rsidR="00C83DD1">
        <w:rPr>
          <w:rFonts w:cs="Arial"/>
          <w:color w:val="BFBFBF" w:themeColor="background1" w:themeShade="BF"/>
          <w:sz w:val="24"/>
          <w:szCs w:val="24"/>
        </w:rPr>
        <w:t xml:space="preserve"> otorgado por la plataforma SIJEN</w:t>
      </w:r>
      <w:r w:rsidR="00816E78">
        <w:rPr>
          <w:rFonts w:cs="Arial"/>
          <w:color w:val="BFBFBF" w:themeColor="background1" w:themeShade="BF"/>
          <w:sz w:val="24"/>
          <w:szCs w:val="24"/>
        </w:rPr>
        <w:t>.</w:t>
      </w:r>
      <w:r w:rsidRPr="00032CBC">
        <w:rPr>
          <w:rFonts w:cs="Arial"/>
          <w:color w:val="BFBFBF" w:themeColor="background1" w:themeShade="BF"/>
          <w:sz w:val="24"/>
          <w:szCs w:val="24"/>
        </w:rPr>
        <w:t xml:space="preserve">..) </w:t>
      </w:r>
      <w:r w:rsidRPr="00032CBC">
        <w:rPr>
          <w:rFonts w:cs="Arial"/>
          <w:bCs/>
          <w:sz w:val="24"/>
          <w:szCs w:val="24"/>
        </w:rPr>
        <w:t xml:space="preserve">encuentra este Despacho </w:t>
      </w:r>
      <w:r w:rsidRPr="00D26E08">
        <w:rPr>
          <w:rFonts w:cs="Arial"/>
          <w:color w:val="BFBFBF" w:themeColor="background1" w:themeShade="BF"/>
          <w:sz w:val="24"/>
          <w:szCs w:val="24"/>
        </w:rPr>
        <w:t>(…</w:t>
      </w:r>
      <w:r w:rsidR="007061E7" w:rsidRPr="00D26E08">
        <w:rPr>
          <w:rFonts w:cs="Arial"/>
          <w:color w:val="BFBFBF" w:themeColor="background1" w:themeShade="BF"/>
          <w:sz w:val="24"/>
          <w:szCs w:val="24"/>
        </w:rPr>
        <w:t>redactar las consideraciones</w:t>
      </w:r>
      <w:r w:rsidRPr="00D26E08">
        <w:rPr>
          <w:rFonts w:cs="Arial"/>
          <w:color w:val="BFBFBF" w:themeColor="background1" w:themeShade="BF"/>
          <w:sz w:val="24"/>
          <w:szCs w:val="24"/>
        </w:rPr>
        <w:t xml:space="preserve"> que </w:t>
      </w:r>
      <w:r w:rsidR="00BB5F65" w:rsidRPr="00D26E08">
        <w:rPr>
          <w:rFonts w:cs="Arial"/>
          <w:color w:val="BFBFBF" w:themeColor="background1" w:themeShade="BF"/>
          <w:sz w:val="24"/>
          <w:szCs w:val="24"/>
        </w:rPr>
        <w:t xml:space="preserve">afectan el criterio de la </w:t>
      </w:r>
      <w:r w:rsidR="00BB5F65" w:rsidRPr="00D26E08">
        <w:rPr>
          <w:rFonts w:cs="Arial"/>
          <w:b/>
          <w:i/>
          <w:color w:val="BFBFBF" w:themeColor="background1" w:themeShade="BF"/>
          <w:sz w:val="24"/>
          <w:szCs w:val="24"/>
        </w:rPr>
        <w:t>unidad procesal</w:t>
      </w:r>
      <w:r w:rsidR="00BB5F65" w:rsidRPr="00D26E08">
        <w:rPr>
          <w:rFonts w:cs="Arial"/>
          <w:color w:val="BFBFBF" w:themeColor="background1" w:themeShade="BF"/>
          <w:sz w:val="24"/>
          <w:szCs w:val="24"/>
        </w:rPr>
        <w:t xml:space="preserve"> descrita en el artículo 41 de la Ley 1476 de 2011</w:t>
      </w:r>
      <w:r w:rsidR="000B3AB5" w:rsidRPr="00D26E08">
        <w:rPr>
          <w:rFonts w:cs="Arial"/>
          <w:color w:val="BFBFBF" w:themeColor="background1" w:themeShade="BF"/>
          <w:sz w:val="24"/>
          <w:szCs w:val="24"/>
        </w:rPr>
        <w:t xml:space="preserve"> </w:t>
      </w:r>
      <w:r w:rsidRPr="00D26E08">
        <w:rPr>
          <w:rFonts w:cs="Arial"/>
          <w:color w:val="BFBFBF" w:themeColor="background1" w:themeShade="BF"/>
          <w:sz w:val="24"/>
          <w:szCs w:val="24"/>
        </w:rPr>
        <w:t xml:space="preserve">configura la </w:t>
      </w:r>
      <w:r w:rsidR="003F02FB">
        <w:rPr>
          <w:rFonts w:cs="Arial"/>
          <w:color w:val="BFBFBF" w:themeColor="background1" w:themeShade="BF"/>
          <w:sz w:val="24"/>
          <w:szCs w:val="24"/>
        </w:rPr>
        <w:t xml:space="preserve">necesidad de tramitar en diferentes cuerdas procesales, atendiendo la existencia de hechos generadores diversos. </w:t>
      </w:r>
    </w:p>
    <w:p w14:paraId="473A7FBB" w14:textId="77777777" w:rsidR="00C222AE" w:rsidRPr="00617B04" w:rsidRDefault="00C222AE" w:rsidP="00C222AE">
      <w:pPr>
        <w:pStyle w:val="Textoindependiente"/>
        <w:spacing w:line="360" w:lineRule="auto"/>
        <w:ind w:right="51"/>
        <w:rPr>
          <w:rFonts w:cs="Arial"/>
          <w:szCs w:val="24"/>
        </w:rPr>
      </w:pPr>
    </w:p>
    <w:p w14:paraId="2A431475" w14:textId="65E841D0" w:rsidR="00C222AE" w:rsidRPr="00032CBC" w:rsidRDefault="00C222AE" w:rsidP="00C222AE">
      <w:pPr>
        <w:pStyle w:val="Textoindependiente"/>
        <w:spacing w:line="360" w:lineRule="auto"/>
        <w:ind w:right="51"/>
        <w:rPr>
          <w:rFonts w:cs="Arial"/>
          <w:color w:val="000000"/>
          <w:sz w:val="24"/>
          <w:szCs w:val="24"/>
        </w:rPr>
      </w:pPr>
      <w:r w:rsidRPr="00032CBC">
        <w:rPr>
          <w:rFonts w:cs="Arial"/>
          <w:sz w:val="24"/>
          <w:szCs w:val="24"/>
        </w:rPr>
        <w:t xml:space="preserve">En mérito de lo antes expuesto, el suscrito </w:t>
      </w:r>
      <w:r w:rsidRPr="00032CBC">
        <w:rPr>
          <w:rFonts w:cs="Arial"/>
          <w:color w:val="BFBFBF"/>
          <w:sz w:val="24"/>
          <w:szCs w:val="24"/>
        </w:rPr>
        <w:t>(… Grado y Cargo del Funcionario Competente …)</w:t>
      </w:r>
      <w:r w:rsidRPr="00032CBC">
        <w:rPr>
          <w:rFonts w:cs="Arial"/>
          <w:sz w:val="24"/>
          <w:szCs w:val="24"/>
        </w:rPr>
        <w:t xml:space="preserve">, en calidad de Funcionario Competente y en pleno uso de las facultades legales que le confiere la Ley </w:t>
      </w:r>
      <w:r w:rsidR="007061E7">
        <w:rPr>
          <w:rFonts w:cs="Arial"/>
          <w:sz w:val="24"/>
          <w:szCs w:val="24"/>
        </w:rPr>
        <w:t>1476</w:t>
      </w:r>
      <w:r w:rsidRPr="00032CBC">
        <w:rPr>
          <w:rFonts w:cs="Arial"/>
          <w:sz w:val="24"/>
          <w:szCs w:val="24"/>
        </w:rPr>
        <w:t xml:space="preserve"> de 201</w:t>
      </w:r>
      <w:r w:rsidR="007061E7">
        <w:rPr>
          <w:rFonts w:cs="Arial"/>
          <w:sz w:val="24"/>
          <w:szCs w:val="24"/>
        </w:rPr>
        <w:t>1</w:t>
      </w:r>
      <w:r w:rsidRPr="00032CBC">
        <w:rPr>
          <w:rFonts w:cs="Arial"/>
          <w:sz w:val="24"/>
          <w:szCs w:val="24"/>
        </w:rPr>
        <w:t xml:space="preserve"> </w:t>
      </w:r>
      <w:r w:rsidR="007061E7" w:rsidRPr="007061E7">
        <w:rPr>
          <w:rFonts w:cs="Arial"/>
          <w:bCs/>
          <w:i/>
          <w:sz w:val="24"/>
          <w:szCs w:val="24"/>
          <w:lang w:val="es-ES"/>
        </w:rPr>
        <w:t>“por la cual se expide el régimen de responsabilidad administrativa por pérdida o daño de bienes de propiedad o al servicio del Ministerio de Defensa Nacional, sus entidades adscritas o vinculadas o la Fuerza Pública</w:t>
      </w:r>
      <w:r w:rsidR="007061E7" w:rsidRPr="007061E7">
        <w:rPr>
          <w:rFonts w:cs="Arial"/>
          <w:b/>
          <w:bCs/>
          <w:i/>
          <w:sz w:val="24"/>
          <w:szCs w:val="24"/>
          <w:lang w:val="es-ES"/>
        </w:rPr>
        <w:t>”</w:t>
      </w:r>
      <w:r w:rsidR="003F02FB">
        <w:rPr>
          <w:rFonts w:cs="Arial"/>
          <w:color w:val="000000"/>
          <w:sz w:val="24"/>
          <w:szCs w:val="24"/>
        </w:rPr>
        <w:t>.</w:t>
      </w:r>
    </w:p>
    <w:p w14:paraId="6A749914" w14:textId="62397DA7" w:rsidR="00C222AE" w:rsidRDefault="00C222AE" w:rsidP="00C222AE">
      <w:pPr>
        <w:pStyle w:val="Textoindependiente"/>
        <w:spacing w:line="360" w:lineRule="auto"/>
        <w:ind w:right="51"/>
        <w:rPr>
          <w:rFonts w:cs="Arial"/>
          <w:color w:val="000000"/>
          <w:sz w:val="24"/>
          <w:szCs w:val="24"/>
        </w:rPr>
      </w:pPr>
    </w:p>
    <w:p w14:paraId="52964F6D" w14:textId="77777777" w:rsidR="00C83CFE" w:rsidRPr="00617B04" w:rsidRDefault="00C83CFE" w:rsidP="00C222AE">
      <w:pPr>
        <w:pStyle w:val="Textoindependiente"/>
        <w:spacing w:line="360" w:lineRule="auto"/>
        <w:ind w:right="51"/>
        <w:rPr>
          <w:rFonts w:cs="Arial"/>
          <w:color w:val="000000"/>
          <w:sz w:val="16"/>
          <w:szCs w:val="24"/>
        </w:rPr>
      </w:pPr>
    </w:p>
    <w:p w14:paraId="1F32E953" w14:textId="77777777" w:rsidR="00C222AE" w:rsidRPr="00032CBC" w:rsidRDefault="00C222AE" w:rsidP="00C222AE">
      <w:pPr>
        <w:pStyle w:val="Ttulo"/>
        <w:spacing w:line="360" w:lineRule="auto"/>
        <w:ind w:right="51"/>
        <w:rPr>
          <w:rFonts w:ascii="Arial" w:hAnsi="Arial" w:cs="Arial"/>
          <w:b/>
          <w:sz w:val="24"/>
          <w:szCs w:val="24"/>
        </w:rPr>
      </w:pPr>
      <w:r w:rsidRPr="00032CBC">
        <w:rPr>
          <w:rFonts w:ascii="Arial" w:hAnsi="Arial" w:cs="Arial"/>
          <w:b/>
          <w:sz w:val="24"/>
          <w:szCs w:val="24"/>
          <w:u w:val="single"/>
        </w:rPr>
        <w:t>RESUELVE</w:t>
      </w:r>
      <w:r w:rsidRPr="00032CBC">
        <w:rPr>
          <w:rFonts w:ascii="Arial" w:hAnsi="Arial" w:cs="Arial"/>
          <w:b/>
          <w:sz w:val="24"/>
          <w:szCs w:val="24"/>
        </w:rPr>
        <w:t>:</w:t>
      </w:r>
    </w:p>
    <w:p w14:paraId="7F2DC76D" w14:textId="77777777" w:rsidR="00C222AE" w:rsidRPr="00032CBC" w:rsidRDefault="00C222AE" w:rsidP="00C222AE">
      <w:pPr>
        <w:pStyle w:val="Ttulo"/>
        <w:spacing w:line="360" w:lineRule="auto"/>
        <w:ind w:right="51"/>
        <w:rPr>
          <w:rFonts w:ascii="Arial" w:hAnsi="Arial" w:cs="Arial"/>
          <w:b/>
          <w:sz w:val="24"/>
          <w:szCs w:val="24"/>
          <w:u w:val="single"/>
        </w:rPr>
      </w:pPr>
    </w:p>
    <w:p w14:paraId="1A489C3B" w14:textId="7A390993" w:rsidR="00C222AE" w:rsidRPr="00032CBC" w:rsidRDefault="00C222AE" w:rsidP="00C222AE">
      <w:pPr>
        <w:pStyle w:val="Sangradetextonormal"/>
        <w:tabs>
          <w:tab w:val="left" w:pos="1701"/>
        </w:tabs>
        <w:spacing w:line="360" w:lineRule="auto"/>
        <w:ind w:left="1701" w:hanging="1701"/>
        <w:rPr>
          <w:rFonts w:cs="Arial"/>
          <w:sz w:val="24"/>
          <w:szCs w:val="24"/>
        </w:rPr>
      </w:pPr>
      <w:r w:rsidRPr="00032CBC">
        <w:rPr>
          <w:rFonts w:cs="Arial"/>
          <w:b/>
          <w:sz w:val="24"/>
          <w:szCs w:val="24"/>
        </w:rPr>
        <w:t>PRIMERO:</w:t>
      </w:r>
      <w:r w:rsidRPr="00032CBC">
        <w:rPr>
          <w:rFonts w:cs="Arial"/>
          <w:b/>
          <w:sz w:val="24"/>
          <w:szCs w:val="24"/>
        </w:rPr>
        <w:tab/>
        <w:t xml:space="preserve">ORDÉNESE </w:t>
      </w:r>
      <w:r w:rsidR="003F02FB">
        <w:rPr>
          <w:rFonts w:cs="Arial"/>
          <w:b/>
          <w:sz w:val="24"/>
          <w:szCs w:val="24"/>
        </w:rPr>
        <w:t xml:space="preserve">EL DESGLOSE </w:t>
      </w:r>
      <w:r w:rsidR="003F02FB">
        <w:rPr>
          <w:rFonts w:cs="Arial"/>
          <w:sz w:val="24"/>
          <w:szCs w:val="24"/>
        </w:rPr>
        <w:t xml:space="preserve">en original </w:t>
      </w:r>
      <w:r w:rsidR="00D4526A">
        <w:rPr>
          <w:rFonts w:cs="Arial"/>
          <w:sz w:val="24"/>
          <w:szCs w:val="24"/>
        </w:rPr>
        <w:t>de las piezas proce</w:t>
      </w:r>
      <w:r w:rsidR="003F02FB">
        <w:rPr>
          <w:rFonts w:cs="Arial"/>
          <w:sz w:val="24"/>
          <w:szCs w:val="24"/>
        </w:rPr>
        <w:t>sales obrantes en la Investigación Administrativa con radicado único SIDAE N°</w:t>
      </w:r>
      <w:r w:rsidR="003F02FB" w:rsidRPr="003F02FB">
        <w:rPr>
          <w:rFonts w:cs="Arial"/>
          <w:color w:val="BFBFBF" w:themeColor="background1" w:themeShade="BF"/>
          <w:sz w:val="24"/>
          <w:szCs w:val="24"/>
        </w:rPr>
        <w:t xml:space="preserve"> (indicar el radicado arrojado del SIJEN) </w:t>
      </w:r>
      <w:r w:rsidR="00D4526A">
        <w:rPr>
          <w:rFonts w:cs="Arial"/>
          <w:sz w:val="24"/>
          <w:szCs w:val="24"/>
        </w:rPr>
        <w:t>y que guardan relación con</w:t>
      </w:r>
      <w:r w:rsidRPr="00032CBC">
        <w:rPr>
          <w:rFonts w:cs="Arial"/>
          <w:b/>
          <w:sz w:val="24"/>
          <w:szCs w:val="24"/>
        </w:rPr>
        <w:t xml:space="preserve"> </w:t>
      </w:r>
      <w:r w:rsidRPr="00032CBC">
        <w:rPr>
          <w:rFonts w:cs="Arial"/>
          <w:color w:val="BFBFBF" w:themeColor="background1" w:themeShade="BF"/>
          <w:sz w:val="24"/>
          <w:szCs w:val="24"/>
        </w:rPr>
        <w:t>(…</w:t>
      </w:r>
      <w:r w:rsidR="00872118">
        <w:rPr>
          <w:rFonts w:cs="Arial"/>
          <w:color w:val="BFBFBF" w:themeColor="background1" w:themeShade="BF"/>
          <w:sz w:val="24"/>
          <w:szCs w:val="24"/>
        </w:rPr>
        <w:t xml:space="preserve">colocar el bien sobre el que se determinó </w:t>
      </w:r>
      <w:r w:rsidR="00B61C1F">
        <w:rPr>
          <w:rFonts w:cs="Arial"/>
          <w:color w:val="BFBFBF" w:themeColor="background1" w:themeShade="BF"/>
          <w:sz w:val="24"/>
          <w:szCs w:val="24"/>
        </w:rPr>
        <w:t xml:space="preserve">ocurrió en otro evento </w:t>
      </w:r>
      <w:r w:rsidRPr="00032CBC">
        <w:rPr>
          <w:rFonts w:cs="Arial"/>
          <w:color w:val="BFBFBF" w:themeColor="background1" w:themeShade="BF"/>
          <w:sz w:val="24"/>
          <w:szCs w:val="24"/>
        </w:rPr>
        <w:t>…)</w:t>
      </w:r>
      <w:r w:rsidRPr="00032CBC">
        <w:rPr>
          <w:rFonts w:cs="Arial"/>
          <w:sz w:val="24"/>
          <w:szCs w:val="24"/>
        </w:rPr>
        <w:t xml:space="preserve">, </w:t>
      </w:r>
      <w:r w:rsidR="00252AC5">
        <w:rPr>
          <w:rFonts w:cs="Arial"/>
          <w:sz w:val="24"/>
          <w:szCs w:val="24"/>
        </w:rPr>
        <w:t xml:space="preserve">con el fin de que se adelante en cuerda procesal diferente a la actual, por los motivos expuestos </w:t>
      </w:r>
      <w:r w:rsidRPr="00032CBC">
        <w:rPr>
          <w:rFonts w:cs="Arial"/>
          <w:sz w:val="24"/>
          <w:szCs w:val="24"/>
        </w:rPr>
        <w:t>en la parte considerativa del presente proveído.</w:t>
      </w:r>
    </w:p>
    <w:p w14:paraId="4AC3AB3E" w14:textId="77777777" w:rsidR="00C222AE" w:rsidRPr="00032CBC" w:rsidRDefault="00C222AE" w:rsidP="00C222AE">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14:paraId="4F8D3F2A" w14:textId="470B366D" w:rsidR="00C222AE" w:rsidRPr="00032CBC" w:rsidRDefault="00C222AE" w:rsidP="00C222AE">
      <w:pPr>
        <w:pStyle w:val="Ttulo"/>
        <w:tabs>
          <w:tab w:val="left" w:pos="1701"/>
        </w:tabs>
        <w:spacing w:line="360" w:lineRule="auto"/>
        <w:ind w:left="1701" w:right="51" w:hanging="1701"/>
        <w:jc w:val="both"/>
        <w:rPr>
          <w:rFonts w:ascii="Arial" w:hAnsi="Arial" w:cs="Arial"/>
          <w:sz w:val="24"/>
          <w:szCs w:val="24"/>
        </w:rPr>
      </w:pPr>
      <w:r w:rsidRPr="00032CBC">
        <w:rPr>
          <w:rFonts w:ascii="Arial" w:hAnsi="Arial" w:cs="Arial"/>
          <w:b/>
          <w:sz w:val="24"/>
          <w:szCs w:val="24"/>
        </w:rPr>
        <w:t>SEGUNDO:</w:t>
      </w:r>
      <w:r w:rsidRPr="00032CBC">
        <w:rPr>
          <w:rFonts w:ascii="Arial" w:hAnsi="Arial" w:cs="Arial"/>
          <w:b/>
          <w:color w:val="D9D9D9" w:themeColor="background1" w:themeShade="D9"/>
          <w:sz w:val="24"/>
          <w:szCs w:val="24"/>
        </w:rPr>
        <w:tab/>
      </w:r>
      <w:r w:rsidR="00252AC5" w:rsidRPr="00252AC5">
        <w:rPr>
          <w:rFonts w:ascii="Arial" w:hAnsi="Arial" w:cs="Arial"/>
          <w:sz w:val="24"/>
          <w:szCs w:val="24"/>
        </w:rPr>
        <w:t>En consecuencia,</w:t>
      </w:r>
      <w:r w:rsidR="00252AC5">
        <w:rPr>
          <w:rFonts w:ascii="Arial" w:hAnsi="Arial" w:cs="Arial"/>
          <w:b/>
          <w:color w:val="D9D9D9" w:themeColor="background1" w:themeShade="D9"/>
          <w:sz w:val="24"/>
          <w:szCs w:val="24"/>
        </w:rPr>
        <w:t xml:space="preserve"> </w:t>
      </w:r>
      <w:r w:rsidRPr="00032CBC">
        <w:rPr>
          <w:rFonts w:ascii="Arial" w:hAnsi="Arial" w:cs="Arial"/>
          <w:b/>
          <w:sz w:val="24"/>
          <w:szCs w:val="24"/>
        </w:rPr>
        <w:t xml:space="preserve">REMÍTASE </w:t>
      </w:r>
      <w:r w:rsidRPr="00032CBC">
        <w:rPr>
          <w:rFonts w:ascii="Arial" w:hAnsi="Arial" w:cs="Arial"/>
          <w:sz w:val="24"/>
          <w:szCs w:val="24"/>
        </w:rPr>
        <w:t>las piezas procesales</w:t>
      </w:r>
      <w:r w:rsidR="007061E7">
        <w:rPr>
          <w:rFonts w:ascii="Arial" w:hAnsi="Arial" w:cs="Arial"/>
          <w:sz w:val="24"/>
          <w:szCs w:val="24"/>
        </w:rPr>
        <w:t xml:space="preserve"> consistente en</w:t>
      </w:r>
      <w:r w:rsidRPr="00032CBC">
        <w:rPr>
          <w:rFonts w:ascii="Arial" w:hAnsi="Arial" w:cs="Arial"/>
          <w:sz w:val="24"/>
          <w:szCs w:val="24"/>
        </w:rPr>
        <w:t xml:space="preserve"> </w:t>
      </w:r>
      <w:r w:rsidRPr="00032CBC">
        <w:rPr>
          <w:rFonts w:ascii="Arial" w:hAnsi="Arial" w:cs="Arial"/>
          <w:color w:val="BFBFBF" w:themeColor="background1" w:themeShade="BF"/>
          <w:sz w:val="24"/>
          <w:szCs w:val="24"/>
        </w:rPr>
        <w:t xml:space="preserve">(… indicar cantidad de folios y la autoridad </w:t>
      </w:r>
      <w:r w:rsidR="007061E7">
        <w:rPr>
          <w:rFonts w:ascii="Arial" w:hAnsi="Arial" w:cs="Arial"/>
          <w:color w:val="BFBFBF" w:themeColor="background1" w:themeShade="BF"/>
          <w:sz w:val="24"/>
          <w:szCs w:val="24"/>
        </w:rPr>
        <w:t>administrativa</w:t>
      </w:r>
      <w:r w:rsidRPr="00032CBC">
        <w:rPr>
          <w:rFonts w:ascii="Arial" w:hAnsi="Arial" w:cs="Arial"/>
          <w:color w:val="BFBFBF" w:themeColor="background1" w:themeShade="BF"/>
          <w:sz w:val="24"/>
          <w:szCs w:val="24"/>
        </w:rPr>
        <w:t xml:space="preserve">, de conformidad </w:t>
      </w:r>
      <w:r w:rsidR="007061E7">
        <w:rPr>
          <w:rFonts w:ascii="Arial" w:hAnsi="Arial" w:cs="Arial"/>
          <w:color w:val="BFBFBF" w:themeColor="background1" w:themeShade="BF"/>
          <w:sz w:val="24"/>
          <w:szCs w:val="24"/>
        </w:rPr>
        <w:t>con</w:t>
      </w:r>
      <w:r w:rsidR="003F02FB">
        <w:rPr>
          <w:rFonts w:ascii="Arial" w:hAnsi="Arial" w:cs="Arial"/>
          <w:color w:val="BFBFBF" w:themeColor="background1" w:themeShade="BF"/>
          <w:sz w:val="24"/>
          <w:szCs w:val="24"/>
        </w:rPr>
        <w:t xml:space="preserve"> lo expuesto en la parte motiva) </w:t>
      </w:r>
      <w:r w:rsidR="003F02FB" w:rsidRPr="003F02FB">
        <w:rPr>
          <w:rFonts w:ascii="Arial" w:hAnsi="Arial" w:cs="Arial"/>
          <w:sz w:val="24"/>
          <w:szCs w:val="24"/>
        </w:rPr>
        <w:t>al</w:t>
      </w:r>
      <w:r w:rsidR="003F02FB">
        <w:rPr>
          <w:rFonts w:ascii="Arial" w:hAnsi="Arial" w:cs="Arial"/>
          <w:color w:val="BFBFBF" w:themeColor="background1" w:themeShade="BF"/>
          <w:sz w:val="24"/>
          <w:szCs w:val="24"/>
        </w:rPr>
        <w:t xml:space="preserve"> (señalar la autoridad militar competente para adelantar la actuación). </w:t>
      </w:r>
    </w:p>
    <w:p w14:paraId="78BD1FB2" w14:textId="77777777" w:rsidR="00C222AE" w:rsidRPr="00032CBC" w:rsidRDefault="00C222AE" w:rsidP="00C222AE">
      <w:pPr>
        <w:pStyle w:val="Ttulo"/>
        <w:tabs>
          <w:tab w:val="left" w:pos="1701"/>
        </w:tabs>
        <w:spacing w:line="360" w:lineRule="auto"/>
        <w:ind w:left="1701" w:right="51" w:hanging="1701"/>
        <w:jc w:val="both"/>
        <w:rPr>
          <w:rFonts w:ascii="Arial" w:hAnsi="Arial" w:cs="Arial"/>
          <w:color w:val="BFBFBF"/>
          <w:sz w:val="24"/>
          <w:szCs w:val="24"/>
        </w:rPr>
      </w:pPr>
    </w:p>
    <w:p w14:paraId="0A75F005" w14:textId="342CDB49" w:rsidR="00C222AE" w:rsidRPr="00032CBC" w:rsidRDefault="00C222AE" w:rsidP="00C222AE">
      <w:pPr>
        <w:pStyle w:val="Ttulo"/>
        <w:tabs>
          <w:tab w:val="left" w:pos="1701"/>
        </w:tabs>
        <w:spacing w:line="360" w:lineRule="auto"/>
        <w:ind w:left="1701" w:right="51" w:hanging="1701"/>
        <w:jc w:val="both"/>
        <w:rPr>
          <w:rFonts w:ascii="Arial" w:hAnsi="Arial" w:cs="Arial"/>
          <w:color w:val="BFBFBF"/>
          <w:sz w:val="24"/>
          <w:szCs w:val="24"/>
        </w:rPr>
      </w:pPr>
      <w:r w:rsidRPr="00032CBC">
        <w:rPr>
          <w:rFonts w:ascii="Arial" w:hAnsi="Arial" w:cs="Arial"/>
          <w:b/>
          <w:sz w:val="24"/>
          <w:szCs w:val="24"/>
        </w:rPr>
        <w:t>TERCERO:</w:t>
      </w:r>
      <w:r w:rsidRPr="00032CBC">
        <w:rPr>
          <w:rFonts w:ascii="Arial" w:hAnsi="Arial" w:cs="Arial"/>
          <w:b/>
          <w:color w:val="D9D9D9" w:themeColor="background1" w:themeShade="D9"/>
          <w:sz w:val="24"/>
          <w:szCs w:val="24"/>
        </w:rPr>
        <w:tab/>
      </w:r>
      <w:r w:rsidRPr="00032CBC">
        <w:rPr>
          <w:rFonts w:ascii="Arial" w:hAnsi="Arial" w:cs="Arial"/>
          <w:b/>
          <w:sz w:val="24"/>
          <w:szCs w:val="24"/>
        </w:rPr>
        <w:t>NOTIFICAR POR ESTADO</w:t>
      </w:r>
      <w:r w:rsidRPr="00032CBC">
        <w:rPr>
          <w:rFonts w:ascii="Arial" w:hAnsi="Arial" w:cs="Arial"/>
          <w:sz w:val="24"/>
          <w:szCs w:val="24"/>
        </w:rPr>
        <w:t xml:space="preserve"> la presente providencia observando lo preceptuado en el artículo </w:t>
      </w:r>
      <w:r w:rsidR="007061E7">
        <w:rPr>
          <w:rFonts w:ascii="Arial" w:hAnsi="Arial" w:cs="Arial"/>
          <w:sz w:val="24"/>
          <w:szCs w:val="24"/>
        </w:rPr>
        <w:t>295</w:t>
      </w:r>
      <w:r w:rsidRPr="00032CBC">
        <w:rPr>
          <w:rStyle w:val="Refdenotaalpie"/>
          <w:rFonts w:ascii="Arial" w:hAnsi="Arial" w:cs="Arial"/>
          <w:sz w:val="24"/>
          <w:szCs w:val="24"/>
        </w:rPr>
        <w:footnoteReference w:id="2"/>
      </w:r>
      <w:r w:rsidRPr="00032CBC">
        <w:rPr>
          <w:rFonts w:ascii="Arial" w:hAnsi="Arial" w:cs="Arial"/>
          <w:sz w:val="24"/>
          <w:szCs w:val="24"/>
        </w:rPr>
        <w:t xml:space="preserve"> de la Ley </w:t>
      </w:r>
      <w:r w:rsidR="007061E7">
        <w:rPr>
          <w:rFonts w:ascii="Arial" w:hAnsi="Arial" w:cs="Arial"/>
          <w:sz w:val="24"/>
          <w:szCs w:val="24"/>
        </w:rPr>
        <w:t>1564 de 2012 de conformidad con los artículos 56 y 10 de la Ley 1476 de 2011</w:t>
      </w:r>
      <w:r w:rsidRPr="00032CBC">
        <w:rPr>
          <w:rFonts w:ascii="Arial" w:hAnsi="Arial" w:cs="Arial"/>
          <w:sz w:val="24"/>
          <w:szCs w:val="24"/>
        </w:rPr>
        <w:t xml:space="preserve">; y </w:t>
      </w:r>
      <w:r w:rsidRPr="00032CBC">
        <w:rPr>
          <w:rFonts w:ascii="Arial" w:hAnsi="Arial" w:cs="Arial"/>
          <w:b/>
          <w:sz w:val="24"/>
          <w:szCs w:val="24"/>
        </w:rPr>
        <w:t>COMUNICAR</w:t>
      </w:r>
      <w:r w:rsidRPr="00032CBC">
        <w:rPr>
          <w:rFonts w:ascii="Arial" w:hAnsi="Arial" w:cs="Arial"/>
          <w:sz w:val="24"/>
          <w:szCs w:val="24"/>
        </w:rPr>
        <w:t xml:space="preserve"> a los sujetos procesales la decisión tomada.</w:t>
      </w:r>
    </w:p>
    <w:p w14:paraId="47B67BD5" w14:textId="77777777" w:rsidR="00C222AE" w:rsidRPr="00032CBC" w:rsidRDefault="00C222AE" w:rsidP="00C222AE">
      <w:pPr>
        <w:pStyle w:val="Ttulo"/>
        <w:spacing w:line="360" w:lineRule="auto"/>
        <w:ind w:left="1701" w:right="51" w:hanging="1701"/>
        <w:jc w:val="both"/>
        <w:rPr>
          <w:rFonts w:ascii="Arial" w:hAnsi="Arial" w:cs="Arial"/>
          <w:b/>
          <w:sz w:val="24"/>
          <w:szCs w:val="24"/>
        </w:rPr>
      </w:pPr>
    </w:p>
    <w:p w14:paraId="3EB9653C" w14:textId="77777777" w:rsidR="00C222AE" w:rsidRPr="00032CBC" w:rsidRDefault="00C222AE" w:rsidP="00C222AE">
      <w:pPr>
        <w:pStyle w:val="Ttulo"/>
        <w:spacing w:line="360" w:lineRule="auto"/>
        <w:ind w:left="1701" w:right="51" w:hanging="1701"/>
        <w:jc w:val="both"/>
        <w:rPr>
          <w:rFonts w:ascii="Arial" w:hAnsi="Arial" w:cs="Arial"/>
          <w:sz w:val="24"/>
          <w:szCs w:val="24"/>
        </w:rPr>
      </w:pPr>
      <w:r w:rsidRPr="00032CBC">
        <w:rPr>
          <w:rFonts w:ascii="Arial" w:hAnsi="Arial" w:cs="Arial"/>
          <w:b/>
          <w:sz w:val="24"/>
          <w:szCs w:val="24"/>
        </w:rPr>
        <w:t>CUARTO:</w:t>
      </w:r>
      <w:r w:rsidRPr="00032CBC">
        <w:rPr>
          <w:rFonts w:ascii="Arial" w:hAnsi="Arial" w:cs="Arial"/>
          <w:b/>
          <w:sz w:val="24"/>
          <w:szCs w:val="24"/>
        </w:rPr>
        <w:tab/>
        <w:t>CONTRA</w:t>
      </w:r>
      <w:r w:rsidRPr="00032CBC">
        <w:rPr>
          <w:rFonts w:ascii="Arial" w:hAnsi="Arial" w:cs="Arial"/>
          <w:sz w:val="24"/>
          <w:szCs w:val="24"/>
        </w:rPr>
        <w:t xml:space="preserve"> la presente providencia </w:t>
      </w:r>
      <w:r w:rsidRPr="00032CBC">
        <w:rPr>
          <w:rFonts w:ascii="Arial" w:hAnsi="Arial" w:cs="Arial"/>
          <w:b/>
          <w:sz w:val="24"/>
          <w:szCs w:val="24"/>
        </w:rPr>
        <w:t>NO</w:t>
      </w:r>
      <w:r w:rsidRPr="00032CBC">
        <w:rPr>
          <w:rFonts w:ascii="Arial" w:hAnsi="Arial" w:cs="Arial"/>
          <w:sz w:val="24"/>
          <w:szCs w:val="24"/>
        </w:rPr>
        <w:t xml:space="preserve"> procede ningún recurso.</w:t>
      </w:r>
    </w:p>
    <w:p w14:paraId="696D73E1" w14:textId="77777777" w:rsidR="00C222AE" w:rsidRPr="00032CBC" w:rsidRDefault="00C222AE" w:rsidP="00C222AE">
      <w:pPr>
        <w:spacing w:line="360" w:lineRule="auto"/>
        <w:jc w:val="both"/>
        <w:rPr>
          <w:rFonts w:ascii="Arial" w:hAnsi="Arial" w:cs="Arial"/>
          <w:lang w:val="es-ES_tradnl"/>
        </w:rPr>
      </w:pPr>
    </w:p>
    <w:p w14:paraId="49219824" w14:textId="77777777" w:rsidR="00C222AE" w:rsidRPr="00032CBC" w:rsidRDefault="00C222AE" w:rsidP="00C222AE">
      <w:pPr>
        <w:pStyle w:val="Ttulo"/>
        <w:spacing w:line="360" w:lineRule="auto"/>
        <w:ind w:right="51"/>
        <w:rPr>
          <w:rFonts w:ascii="Arial" w:hAnsi="Arial" w:cs="Arial"/>
          <w:b/>
          <w:sz w:val="24"/>
          <w:szCs w:val="24"/>
        </w:rPr>
      </w:pPr>
      <w:r w:rsidRPr="00032CBC">
        <w:rPr>
          <w:rFonts w:ascii="Arial" w:hAnsi="Arial" w:cs="Arial"/>
          <w:b/>
          <w:sz w:val="24"/>
          <w:szCs w:val="24"/>
        </w:rPr>
        <w:t>NOTIFÍQUESE, COMUNÍQUESE Y CÚMPLASE.</w:t>
      </w:r>
    </w:p>
    <w:p w14:paraId="28D6769F" w14:textId="77777777" w:rsidR="00C222AE" w:rsidRPr="00032CBC" w:rsidRDefault="00C222AE" w:rsidP="00C222AE">
      <w:pPr>
        <w:pStyle w:val="Ttulo"/>
        <w:spacing w:line="360" w:lineRule="auto"/>
        <w:ind w:right="51"/>
        <w:jc w:val="both"/>
        <w:rPr>
          <w:rFonts w:ascii="Arial" w:hAnsi="Arial" w:cs="Arial"/>
          <w:b/>
          <w:sz w:val="24"/>
          <w:szCs w:val="24"/>
        </w:rPr>
      </w:pPr>
    </w:p>
    <w:p w14:paraId="4691678F" w14:textId="77777777" w:rsidR="00C222AE" w:rsidRPr="00032CBC" w:rsidRDefault="00C222AE" w:rsidP="00C222AE">
      <w:pPr>
        <w:pStyle w:val="Ttulo"/>
        <w:spacing w:line="360" w:lineRule="auto"/>
        <w:ind w:right="51"/>
        <w:jc w:val="both"/>
        <w:rPr>
          <w:rFonts w:ascii="Arial" w:hAnsi="Arial" w:cs="Arial"/>
          <w:b/>
          <w:sz w:val="24"/>
          <w:szCs w:val="24"/>
        </w:rPr>
      </w:pPr>
    </w:p>
    <w:p w14:paraId="533EC2D2" w14:textId="77777777" w:rsidR="00C222AE" w:rsidRPr="00032CBC" w:rsidRDefault="00C222AE" w:rsidP="00C222AE">
      <w:pPr>
        <w:pStyle w:val="Ttulo"/>
        <w:spacing w:line="360" w:lineRule="auto"/>
        <w:ind w:right="51"/>
        <w:rPr>
          <w:rFonts w:ascii="Arial" w:hAnsi="Arial" w:cs="Arial"/>
          <w:color w:val="BFBFBF"/>
          <w:sz w:val="24"/>
          <w:szCs w:val="24"/>
        </w:rPr>
      </w:pPr>
      <w:r w:rsidRPr="00032CBC">
        <w:rPr>
          <w:rFonts w:ascii="Arial" w:hAnsi="Arial" w:cs="Arial"/>
          <w:color w:val="BFBFBF"/>
          <w:sz w:val="24"/>
          <w:szCs w:val="24"/>
        </w:rPr>
        <w:t>(… Grado, Nombres y Apellidos Funcionario Competente …)</w:t>
      </w:r>
    </w:p>
    <w:p w14:paraId="29C4E561" w14:textId="77777777" w:rsidR="00C222AE" w:rsidRPr="00032CBC" w:rsidRDefault="00C222AE" w:rsidP="00C222AE">
      <w:pPr>
        <w:pStyle w:val="Ttulo"/>
        <w:spacing w:line="360" w:lineRule="auto"/>
        <w:ind w:right="51"/>
        <w:rPr>
          <w:rFonts w:ascii="Arial" w:hAnsi="Arial" w:cs="Arial"/>
          <w:b/>
          <w:color w:val="BFBFBF"/>
          <w:sz w:val="24"/>
          <w:szCs w:val="24"/>
        </w:rPr>
      </w:pPr>
      <w:r w:rsidRPr="00032CBC">
        <w:rPr>
          <w:rFonts w:ascii="Arial" w:hAnsi="Arial" w:cs="Arial"/>
          <w:color w:val="BFBFBF"/>
          <w:sz w:val="24"/>
          <w:szCs w:val="24"/>
        </w:rPr>
        <w:t>(… Cargo del Funcionario Competente …)</w:t>
      </w:r>
    </w:p>
    <w:p w14:paraId="01A09415" w14:textId="77777777" w:rsidR="00C222AE" w:rsidRPr="00032CBC" w:rsidRDefault="00C222AE" w:rsidP="00C222AE">
      <w:pPr>
        <w:pStyle w:val="Ttulo"/>
        <w:spacing w:line="360" w:lineRule="auto"/>
        <w:ind w:right="51"/>
        <w:rPr>
          <w:rFonts w:ascii="Arial" w:hAnsi="Arial" w:cs="Arial"/>
          <w:sz w:val="24"/>
          <w:szCs w:val="24"/>
        </w:rPr>
      </w:pPr>
      <w:r w:rsidRPr="00032CBC">
        <w:rPr>
          <w:rFonts w:ascii="Arial" w:hAnsi="Arial" w:cs="Arial"/>
          <w:sz w:val="24"/>
          <w:szCs w:val="24"/>
        </w:rPr>
        <w:t>Funcionario Competente</w:t>
      </w:r>
    </w:p>
    <w:p w14:paraId="085D94F1" w14:textId="77777777" w:rsidR="00C222AE" w:rsidRPr="00032CBC" w:rsidRDefault="00C222AE" w:rsidP="00C222AE">
      <w:pPr>
        <w:pStyle w:val="Ttulo"/>
        <w:spacing w:line="360" w:lineRule="auto"/>
        <w:ind w:right="51"/>
        <w:rPr>
          <w:rFonts w:ascii="Arial" w:hAnsi="Arial" w:cs="Arial"/>
          <w:sz w:val="24"/>
          <w:szCs w:val="24"/>
        </w:rPr>
      </w:pPr>
    </w:p>
    <w:p w14:paraId="09279495" w14:textId="77777777" w:rsidR="00C222AE" w:rsidRPr="00032CBC" w:rsidRDefault="00C222AE" w:rsidP="00C222AE">
      <w:pPr>
        <w:pStyle w:val="Ttulo"/>
        <w:spacing w:line="360" w:lineRule="auto"/>
        <w:ind w:right="51"/>
        <w:rPr>
          <w:rFonts w:ascii="Arial" w:hAnsi="Arial" w:cs="Arial"/>
          <w:b/>
          <w:color w:val="BFBFBF"/>
          <w:sz w:val="24"/>
          <w:szCs w:val="24"/>
        </w:rPr>
      </w:pPr>
    </w:p>
    <w:p w14:paraId="4E7BCB7E" w14:textId="77777777" w:rsidR="00C222AE" w:rsidRPr="00617B04" w:rsidRDefault="00C222AE" w:rsidP="00C222AE">
      <w:pPr>
        <w:pStyle w:val="Ttulo1"/>
        <w:spacing w:line="360" w:lineRule="auto"/>
        <w:jc w:val="left"/>
        <w:rPr>
          <w:rFonts w:ascii="Arial" w:hAnsi="Arial" w:cs="Arial"/>
          <w:b/>
          <w:bCs/>
          <w:sz w:val="20"/>
          <w:szCs w:val="24"/>
        </w:rPr>
      </w:pPr>
      <w:r w:rsidRPr="00617B04">
        <w:rPr>
          <w:rFonts w:ascii="Arial" w:hAnsi="Arial" w:cs="Arial"/>
          <w:b/>
          <w:bCs/>
          <w:sz w:val="20"/>
          <w:szCs w:val="24"/>
        </w:rPr>
        <w:t>Proyectó y Elaboró:</w:t>
      </w:r>
    </w:p>
    <w:p w14:paraId="249439C7" w14:textId="5DA7700B" w:rsidR="00C222AE" w:rsidRPr="00617B04" w:rsidRDefault="00C222AE" w:rsidP="00617B04">
      <w:pPr>
        <w:pStyle w:val="Ttulo1"/>
        <w:spacing w:line="360" w:lineRule="auto"/>
        <w:jc w:val="left"/>
        <w:rPr>
          <w:rFonts w:ascii="Arial" w:hAnsi="Arial" w:cs="Arial"/>
          <w:color w:val="BFBFBF"/>
          <w:sz w:val="20"/>
          <w:szCs w:val="24"/>
        </w:rPr>
      </w:pPr>
      <w:r w:rsidRPr="00617B04">
        <w:rPr>
          <w:rFonts w:ascii="Arial" w:hAnsi="Arial" w:cs="Arial"/>
          <w:color w:val="BFBFBF"/>
          <w:sz w:val="20"/>
          <w:szCs w:val="24"/>
        </w:rPr>
        <w:t>(…Grado, Nombres, Apellidos y Cargo del Funcionario que proyectó y elaboró la providencia …)</w:t>
      </w:r>
    </w:p>
    <w:p w14:paraId="65794542" w14:textId="77777777" w:rsidR="00C222AE" w:rsidRPr="00617B04" w:rsidRDefault="00C222AE" w:rsidP="00C222AE">
      <w:pPr>
        <w:pStyle w:val="Ttulo1"/>
        <w:spacing w:line="360" w:lineRule="auto"/>
        <w:jc w:val="left"/>
        <w:rPr>
          <w:rFonts w:ascii="Arial" w:hAnsi="Arial" w:cs="Arial"/>
          <w:b/>
          <w:bCs/>
          <w:sz w:val="20"/>
          <w:szCs w:val="24"/>
        </w:rPr>
      </w:pPr>
      <w:r w:rsidRPr="00617B04">
        <w:rPr>
          <w:rFonts w:ascii="Arial" w:hAnsi="Arial" w:cs="Arial"/>
          <w:b/>
          <w:bCs/>
          <w:sz w:val="20"/>
          <w:szCs w:val="24"/>
        </w:rPr>
        <w:t>Revisó y Aprobó:</w:t>
      </w:r>
    </w:p>
    <w:p w14:paraId="7862D721" w14:textId="77777777" w:rsidR="00C222AE" w:rsidRPr="00617B04" w:rsidRDefault="00C222AE" w:rsidP="00C222AE">
      <w:pPr>
        <w:pStyle w:val="Ttulo1"/>
        <w:spacing w:line="360" w:lineRule="auto"/>
        <w:jc w:val="left"/>
        <w:rPr>
          <w:rFonts w:ascii="Arial" w:hAnsi="Arial" w:cs="Arial"/>
          <w:color w:val="BFBFBF"/>
          <w:sz w:val="20"/>
          <w:szCs w:val="24"/>
        </w:rPr>
      </w:pPr>
      <w:r w:rsidRPr="00617B04">
        <w:rPr>
          <w:rFonts w:ascii="Arial" w:hAnsi="Arial" w:cs="Arial"/>
          <w:color w:val="BFBFBF"/>
          <w:sz w:val="20"/>
          <w:szCs w:val="24"/>
        </w:rPr>
        <w:t>(…Grado, Nombres, Apellidos y Cargo del Funcionario que revisó y aprobó la providencia …)</w:t>
      </w:r>
    </w:p>
    <w:p w14:paraId="02E40B3F" w14:textId="77777777" w:rsidR="00C222AE" w:rsidRPr="00032CBC" w:rsidRDefault="00C222AE" w:rsidP="00C222AE">
      <w:pPr>
        <w:spacing w:line="360" w:lineRule="auto"/>
        <w:ind w:left="567" w:hanging="567"/>
        <w:jc w:val="both"/>
        <w:rPr>
          <w:rFonts w:ascii="Arial" w:hAnsi="Arial" w:cs="Arial"/>
          <w:b/>
          <w:color w:val="BFBFBF" w:themeColor="background1" w:themeShade="BF"/>
          <w:lang w:val="es-CO"/>
        </w:rPr>
      </w:pPr>
    </w:p>
    <w:p w14:paraId="019025EA" w14:textId="77777777" w:rsidR="00C222AE" w:rsidRPr="00617B04" w:rsidRDefault="00C222AE" w:rsidP="00C222AE">
      <w:pPr>
        <w:pStyle w:val="Ttulo"/>
        <w:spacing w:line="360" w:lineRule="auto"/>
        <w:ind w:left="567" w:hanging="567"/>
        <w:jc w:val="left"/>
        <w:rPr>
          <w:rFonts w:ascii="Arial" w:hAnsi="Arial" w:cs="Arial"/>
          <w:b/>
          <w:bCs/>
          <w:color w:val="BFBFBF" w:themeColor="background1" w:themeShade="BF"/>
          <w:sz w:val="16"/>
          <w:szCs w:val="24"/>
        </w:rPr>
      </w:pPr>
    </w:p>
    <w:p w14:paraId="120B3411" w14:textId="77777777" w:rsidR="00C222AE" w:rsidRPr="00032CBC" w:rsidRDefault="00C222AE" w:rsidP="00C222AE">
      <w:pPr>
        <w:pStyle w:val="Ttulo"/>
        <w:spacing w:line="360" w:lineRule="auto"/>
        <w:ind w:left="567" w:hanging="567"/>
        <w:jc w:val="left"/>
        <w:rPr>
          <w:rFonts w:ascii="Arial" w:hAnsi="Arial" w:cs="Arial"/>
          <w:b/>
          <w:bCs/>
          <w:color w:val="BFBFBF" w:themeColor="background1" w:themeShade="BF"/>
          <w:sz w:val="24"/>
          <w:szCs w:val="24"/>
        </w:rPr>
      </w:pPr>
      <w:r w:rsidRPr="00032CBC">
        <w:rPr>
          <w:rFonts w:ascii="Arial" w:hAnsi="Arial" w:cs="Arial"/>
          <w:b/>
          <w:bCs/>
          <w:color w:val="BFBFBF" w:themeColor="background1" w:themeShade="BF"/>
          <w:sz w:val="24"/>
          <w:szCs w:val="24"/>
        </w:rPr>
        <w:t>PARÁMETROS DE PRESENTACIÓN DEL TEXTO:</w:t>
      </w:r>
    </w:p>
    <w:p w14:paraId="52D9212C" w14:textId="77777777" w:rsidR="00C222AE" w:rsidRPr="00617B04" w:rsidRDefault="00C222AE" w:rsidP="00C222AE">
      <w:pPr>
        <w:pStyle w:val="Ttulo"/>
        <w:spacing w:line="360" w:lineRule="auto"/>
        <w:ind w:left="567" w:hanging="567"/>
        <w:jc w:val="both"/>
        <w:rPr>
          <w:rFonts w:ascii="Arial" w:hAnsi="Arial" w:cs="Arial"/>
          <w:b/>
          <w:bCs/>
          <w:color w:val="BFBFBF" w:themeColor="background1" w:themeShade="BF"/>
          <w:sz w:val="16"/>
          <w:szCs w:val="24"/>
        </w:rPr>
      </w:pPr>
    </w:p>
    <w:p w14:paraId="6EDA7A1E" w14:textId="77777777" w:rsidR="00C222AE" w:rsidRPr="00032CBC" w:rsidRDefault="00C222AE" w:rsidP="00C222AE">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El tamaño de la hoja en que se trabajará el formato será Oficio.</w:t>
      </w:r>
    </w:p>
    <w:p w14:paraId="4E8BBAD9" w14:textId="77777777" w:rsidR="00C222AE" w:rsidRPr="00032CBC" w:rsidRDefault="00C222AE" w:rsidP="00C222AE">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La letra a utilizar en el formato será Arial tamaño 12 para los textos y Arial tamaño 13 para los títulos o acápites.</w:t>
      </w:r>
    </w:p>
    <w:p w14:paraId="618BEAAD" w14:textId="77777777" w:rsidR="00C222AE" w:rsidRPr="00032CBC" w:rsidRDefault="00C222AE" w:rsidP="00C222AE">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 xml:space="preserve">Las citas de normas, doctrina y/o jurisprudencia se hará en Time New Roman tamaño 12, en cursiva y dentro de paréntesis. Ej: </w:t>
      </w:r>
      <w:r w:rsidRPr="00032CBC">
        <w:rPr>
          <w:rFonts w:ascii="Arial" w:hAnsi="Arial" w:cs="Arial"/>
          <w:i/>
          <w:iCs/>
          <w:color w:val="BFBFBF" w:themeColor="background1" w:themeShade="BF"/>
          <w:sz w:val="24"/>
          <w:szCs w:val="24"/>
        </w:rPr>
        <w:t>“(…) XXXXXX (…)”</w:t>
      </w:r>
      <w:r w:rsidRPr="00032CBC">
        <w:rPr>
          <w:rFonts w:ascii="Arial" w:hAnsi="Arial" w:cs="Arial"/>
          <w:color w:val="BFBFBF" w:themeColor="background1" w:themeShade="BF"/>
          <w:sz w:val="24"/>
          <w:szCs w:val="24"/>
        </w:rPr>
        <w:t>.</w:t>
      </w:r>
    </w:p>
    <w:p w14:paraId="4FB6D280" w14:textId="77777777" w:rsidR="00C222AE" w:rsidRPr="00032CBC" w:rsidRDefault="00C222AE" w:rsidP="00C222AE">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Las Notas de Referencias o Pié de Páginas serán en Time New Roman tamaño 8, Cursiva.</w:t>
      </w:r>
    </w:p>
    <w:p w14:paraId="33B668AB" w14:textId="77777777" w:rsidR="00C222AE" w:rsidRPr="00032CBC" w:rsidRDefault="00C222AE" w:rsidP="00C222AE">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La letra y tamaño de “Proyectó”, “Elaboró”, “Revisó” y “Aprobó”, será en Arial 8 y negrilla; los datos con los cuales se diligencien estos parámetros, serán en el mismo tipo y tamaño de letra, sin negrilla.</w:t>
      </w:r>
    </w:p>
    <w:p w14:paraId="77DA3EBC" w14:textId="77777777" w:rsidR="00C222AE" w:rsidRPr="00032CBC" w:rsidRDefault="00C222AE" w:rsidP="00C222AE">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Los títulos o acápites de las providencias deberán ir en mayúscula, negrita y subrayado, sin ningún tipo de numeración.</w:t>
      </w:r>
    </w:p>
    <w:p w14:paraId="0AA5B19B" w14:textId="77777777" w:rsidR="00C222AE" w:rsidRPr="00032CBC" w:rsidRDefault="00C222AE" w:rsidP="00C222AE">
      <w:pPr>
        <w:pStyle w:val="Ttulo"/>
        <w:numPr>
          <w:ilvl w:val="0"/>
          <w:numId w:val="3"/>
        </w:numPr>
        <w:spacing w:line="360" w:lineRule="auto"/>
        <w:ind w:left="567" w:hanging="567"/>
        <w:jc w:val="both"/>
        <w:rPr>
          <w:rFonts w:ascii="Arial" w:hAnsi="Arial" w:cs="Arial"/>
          <w:b/>
          <w:bCs/>
          <w:color w:val="BFBFBF" w:themeColor="background1" w:themeShade="BF"/>
          <w:sz w:val="24"/>
          <w:szCs w:val="24"/>
        </w:rPr>
      </w:pPr>
      <w:r w:rsidRPr="00032CBC">
        <w:rPr>
          <w:rFonts w:ascii="Arial" w:hAnsi="Arial" w:cs="Arial"/>
          <w:color w:val="BFBFBF" w:themeColor="background1" w:themeShade="BF"/>
          <w:sz w:val="24"/>
          <w:szCs w:val="24"/>
        </w:rPr>
        <w:t>Los párrafos que conforman cada uno de los acápites de la providencia, no tendrán sangría, iniciarán desde la margen inicial estipulada para el formato (4cm).</w:t>
      </w:r>
      <w:r w:rsidRPr="00032CBC">
        <w:rPr>
          <w:rFonts w:ascii="Arial" w:hAnsi="Arial" w:cs="Arial"/>
          <w:b/>
          <w:bCs/>
          <w:color w:val="BFBFBF" w:themeColor="background1" w:themeShade="BF"/>
          <w:sz w:val="24"/>
          <w:szCs w:val="24"/>
        </w:rPr>
        <w:t xml:space="preserve"> </w:t>
      </w:r>
    </w:p>
    <w:p w14:paraId="119B2BCD" w14:textId="77777777" w:rsidR="00C222AE" w:rsidRPr="00032CBC" w:rsidRDefault="00C222AE" w:rsidP="00C222AE">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08EC1C8F" w14:textId="77777777" w:rsidR="00C222AE" w:rsidRPr="00032CBC" w:rsidRDefault="00C222AE" w:rsidP="00C222AE">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Los márgenes del documento serán: Superior: 3.0cms., Inferior: 3.0cms., Derecho: 3.0cms. e Izquierdo: 4.0cms.</w:t>
      </w:r>
    </w:p>
    <w:p w14:paraId="65105F8E" w14:textId="77777777" w:rsidR="00C222AE" w:rsidRPr="00032CBC" w:rsidRDefault="00C222AE" w:rsidP="00C222AE">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Los acápites podrán ser utilizados en género femenino o masculino y/o singular o plural, según corresponda al hecho que se investiga.</w:t>
      </w:r>
    </w:p>
    <w:p w14:paraId="402EC0F9" w14:textId="77777777" w:rsidR="00C222AE" w:rsidRPr="00032CBC" w:rsidRDefault="00C222AE" w:rsidP="00C222AE">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Se podrá resaltar con negrilla, mayúscula sostenida, subrayado o cursiva, los datos de relevancia que cada funcionario estime pertinente.</w:t>
      </w:r>
    </w:p>
    <w:p w14:paraId="5CADE9FF" w14:textId="77777777" w:rsidR="00C222AE" w:rsidRPr="00032CBC" w:rsidRDefault="00C222AE" w:rsidP="00C222AE">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lastRenderedPageBreak/>
        <w:t xml:space="preserve">Los numerales que conforman el acápite denominado </w:t>
      </w:r>
      <w:r w:rsidRPr="00032CBC">
        <w:rPr>
          <w:rFonts w:ascii="Arial" w:hAnsi="Arial" w:cs="Arial"/>
          <w:b/>
          <w:color w:val="BFBFBF" w:themeColor="background1" w:themeShade="BF"/>
          <w:sz w:val="24"/>
          <w:szCs w:val="24"/>
        </w:rPr>
        <w:t>“RESUELVE”</w:t>
      </w:r>
      <w:r w:rsidRPr="00032CBC">
        <w:rPr>
          <w:rFonts w:ascii="Arial" w:hAnsi="Arial" w:cs="Arial"/>
          <w:color w:val="BFBFBF" w:themeColor="background1" w:themeShade="BF"/>
          <w:sz w:val="24"/>
          <w:szCs w:val="24"/>
        </w:rPr>
        <w:t>, deberán identificarse en letras, negrita y mayúscula, seguido de los dos puntos (:). Ej.: PRIMERO: Lo ordenado en cada numeral deberá tener sangría a 3.0cm., que iniciará desde la margen inicial estipulada para el formato.</w:t>
      </w:r>
    </w:p>
    <w:p w14:paraId="16F6B7CD" w14:textId="77777777" w:rsidR="00C222AE" w:rsidRPr="00032CBC" w:rsidRDefault="00C222AE" w:rsidP="00C222AE">
      <w:pPr>
        <w:pStyle w:val="Ttulo"/>
        <w:numPr>
          <w:ilvl w:val="0"/>
          <w:numId w:val="3"/>
        </w:numPr>
        <w:spacing w:line="360" w:lineRule="auto"/>
        <w:ind w:left="567" w:hanging="567"/>
        <w:jc w:val="both"/>
        <w:rPr>
          <w:rFonts w:ascii="Arial" w:hAnsi="Arial" w:cs="Arial"/>
          <w:color w:val="BFBFBF" w:themeColor="background1" w:themeShade="BF"/>
          <w:sz w:val="24"/>
          <w:szCs w:val="24"/>
        </w:rPr>
      </w:pPr>
      <w:r w:rsidRPr="00032CBC">
        <w:rPr>
          <w:rFonts w:ascii="Arial" w:hAnsi="Arial" w:cs="Arial"/>
          <w:color w:val="BFBFBF" w:themeColor="background1" w:themeShade="BF"/>
          <w:sz w:val="24"/>
          <w:szCs w:val="24"/>
        </w:rPr>
        <w:t>Los formatos no podrán tener encabezado distinto al correspondiente al Sistema Integrado de Gestión de Calidad.</w:t>
      </w:r>
    </w:p>
    <w:p w14:paraId="11F5F6FC" w14:textId="77777777" w:rsidR="00C222AE" w:rsidRPr="00032CBC" w:rsidRDefault="00C222AE" w:rsidP="00C222AE">
      <w:pPr>
        <w:pStyle w:val="Ttulo"/>
        <w:spacing w:line="360" w:lineRule="auto"/>
        <w:jc w:val="both"/>
        <w:rPr>
          <w:rFonts w:ascii="Arial" w:hAnsi="Arial" w:cs="Arial"/>
          <w:color w:val="BFBFBF" w:themeColor="background1" w:themeShade="BF"/>
          <w:sz w:val="24"/>
          <w:szCs w:val="24"/>
        </w:rPr>
      </w:pPr>
    </w:p>
    <w:p w14:paraId="2410EE47" w14:textId="77777777" w:rsidR="00C222AE" w:rsidRPr="00032CBC" w:rsidRDefault="00C222AE" w:rsidP="00C222AE">
      <w:pPr>
        <w:pStyle w:val="Ttulo"/>
        <w:spacing w:line="360" w:lineRule="auto"/>
        <w:jc w:val="both"/>
        <w:rPr>
          <w:rFonts w:ascii="Arial" w:hAnsi="Arial" w:cs="Arial"/>
          <w:sz w:val="24"/>
          <w:szCs w:val="24"/>
        </w:rPr>
      </w:pPr>
    </w:p>
    <w:p w14:paraId="3891CD45" w14:textId="77777777" w:rsidR="00C222AE" w:rsidRPr="00032CBC" w:rsidRDefault="00C222AE" w:rsidP="00C222AE">
      <w:pPr>
        <w:pStyle w:val="Ttulo"/>
        <w:spacing w:line="360" w:lineRule="auto"/>
        <w:ind w:left="567" w:hanging="567"/>
        <w:jc w:val="both"/>
        <w:rPr>
          <w:rFonts w:ascii="Arial" w:hAnsi="Arial" w:cs="Arial"/>
          <w:color w:val="BFBFBF" w:themeColor="background1" w:themeShade="BF"/>
          <w:sz w:val="24"/>
          <w:szCs w:val="24"/>
        </w:rPr>
      </w:pPr>
    </w:p>
    <w:p w14:paraId="4DE0B636" w14:textId="77777777" w:rsidR="00D6166C" w:rsidRPr="00C222AE" w:rsidRDefault="00D6166C" w:rsidP="00C222AE"/>
    <w:sectPr w:rsidR="00D6166C" w:rsidRPr="00C222AE" w:rsidSect="0050021D">
      <w:headerReference w:type="default" r:id="rId8"/>
      <w:footerReference w:type="default" r:id="rId9"/>
      <w:headerReference w:type="first" r:id="rId10"/>
      <w:pgSz w:w="12240" w:h="20160" w:code="5"/>
      <w:pgMar w:top="1701" w:right="1134" w:bottom="1701" w:left="2268" w:header="567"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55B11" w14:textId="77777777" w:rsidR="00700F8F" w:rsidRDefault="00700F8F" w:rsidP="0026538A">
      <w:r>
        <w:separator/>
      </w:r>
    </w:p>
  </w:endnote>
  <w:endnote w:type="continuationSeparator" w:id="0">
    <w:p w14:paraId="2873BB55" w14:textId="77777777" w:rsidR="00700F8F" w:rsidRDefault="00700F8F"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swiss"/>
    <w:pitch w:val="variable"/>
    <w:sig w:usb0="E7002EFF" w:usb1="D200FDFF" w:usb2="0A042029"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9D5FE" w14:textId="7D8956A3" w:rsidR="0050021D" w:rsidRPr="006D7FB3" w:rsidRDefault="003A2D12" w:rsidP="0050021D">
    <w:pPr>
      <w:tabs>
        <w:tab w:val="center" w:pos="4252"/>
        <w:tab w:val="right" w:pos="8504"/>
      </w:tabs>
      <w:jc w:val="center"/>
      <w:rPr>
        <w:rFonts w:ascii="Arial" w:eastAsia="Calibri" w:hAnsi="Arial" w:cs="Arial"/>
        <w:sz w:val="16"/>
        <w:szCs w:val="16"/>
      </w:rPr>
    </w:pPr>
    <w:r>
      <w:rPr>
        <w:noProof/>
        <w:lang w:val="es-MX" w:eastAsia="es-MX"/>
      </w:rPr>
      <w:drawing>
        <wp:anchor distT="0" distB="0" distL="114300" distR="114300" simplePos="0" relativeHeight="251666432" behindDoc="0" locked="0" layoutInCell="1" allowOverlap="1" wp14:anchorId="511A93BD" wp14:editId="1C4C9BE7">
          <wp:simplePos x="0" y="0"/>
          <wp:positionH relativeFrom="margin">
            <wp:posOffset>4903470</wp:posOffset>
          </wp:positionH>
          <wp:positionV relativeFrom="page">
            <wp:posOffset>11928475</wp:posOffset>
          </wp:positionV>
          <wp:extent cx="708660" cy="395605"/>
          <wp:effectExtent l="0" t="0" r="0" b="444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bookmarkStart w:id="1" w:name="_Hlk211866398"/>
    <w:bookmarkStart w:id="2" w:name="_Hlk210293931"/>
    <w:r w:rsidR="0050021D" w:rsidRPr="0050021D">
      <w:rPr>
        <w:rFonts w:ascii="Arial" w:eastAsia="Calibri" w:hAnsi="Arial" w:cs="Arial"/>
        <w:sz w:val="16"/>
        <w:szCs w:val="16"/>
      </w:rPr>
      <w:t xml:space="preserve"> </w:t>
    </w:r>
    <w:r w:rsidR="0050021D" w:rsidRPr="006D7FB3">
      <w:rPr>
        <w:rFonts w:ascii="Arial" w:eastAsia="Calibri" w:hAnsi="Arial" w:cs="Arial"/>
        <w:sz w:val="16"/>
        <w:szCs w:val="16"/>
      </w:rPr>
      <w:t>Este documento es propiedad del EJÉRCITO NACIONAL</w:t>
    </w:r>
  </w:p>
  <w:p w14:paraId="62C36868" w14:textId="77777777" w:rsidR="0050021D" w:rsidRPr="007A0469" w:rsidRDefault="0050021D" w:rsidP="0050021D">
    <w:pPr>
      <w:numPr>
        <w:ilvl w:val="0"/>
        <w:numId w:val="8"/>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1"/>
    <w:bookmarkEnd w:id="2"/>
  </w:p>
  <w:p w14:paraId="6AAB8502" w14:textId="1B284A8B" w:rsidR="003A2D12" w:rsidRDefault="003A2D12" w:rsidP="0050021D">
    <w:pPr>
      <w:tabs>
        <w:tab w:val="center" w:pos="4252"/>
        <w:tab w:val="right" w:pos="8504"/>
      </w:tabs>
    </w:pPr>
  </w:p>
  <w:p w14:paraId="2B1DED6F" w14:textId="3E4D0C51" w:rsidR="00617B04" w:rsidRPr="003A2D12" w:rsidRDefault="00617B04" w:rsidP="003A2D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A431B" w14:textId="77777777" w:rsidR="00700F8F" w:rsidRDefault="00700F8F" w:rsidP="0026538A">
      <w:r>
        <w:separator/>
      </w:r>
    </w:p>
  </w:footnote>
  <w:footnote w:type="continuationSeparator" w:id="0">
    <w:p w14:paraId="7AACA53B" w14:textId="77777777" w:rsidR="00700F8F" w:rsidRDefault="00700F8F" w:rsidP="0026538A">
      <w:r>
        <w:continuationSeparator/>
      </w:r>
    </w:p>
  </w:footnote>
  <w:footnote w:id="1">
    <w:p w14:paraId="2BBE4F11" w14:textId="315B92D5" w:rsidR="00C222AE" w:rsidRPr="003928ED" w:rsidRDefault="00C222AE" w:rsidP="00A05F0A">
      <w:pPr>
        <w:pStyle w:val="NormalWeb"/>
        <w:spacing w:before="0" w:beforeAutospacing="0" w:after="0" w:afterAutospacing="0"/>
        <w:ind w:firstLine="11"/>
        <w:jc w:val="both"/>
        <w:rPr>
          <w:sz w:val="16"/>
          <w:szCs w:val="16"/>
        </w:rPr>
      </w:pPr>
      <w:r w:rsidRPr="003928ED">
        <w:rPr>
          <w:rStyle w:val="Refdenotaalpie"/>
          <w:sz w:val="16"/>
          <w:szCs w:val="16"/>
        </w:rPr>
        <w:footnoteRef/>
      </w:r>
      <w:r w:rsidRPr="003928ED">
        <w:rPr>
          <w:sz w:val="16"/>
          <w:szCs w:val="16"/>
        </w:rPr>
        <w:t xml:space="preserve"> </w:t>
      </w:r>
      <w:r w:rsidRPr="003928ED">
        <w:rPr>
          <w:rStyle w:val="nfasis"/>
          <w:sz w:val="16"/>
          <w:szCs w:val="16"/>
        </w:rPr>
        <w:t xml:space="preserve">Ley </w:t>
      </w:r>
      <w:r w:rsidR="00A05F0A">
        <w:rPr>
          <w:rStyle w:val="nfasis"/>
          <w:sz w:val="16"/>
          <w:szCs w:val="16"/>
        </w:rPr>
        <w:t>1476 de 20111.</w:t>
      </w:r>
      <w:r w:rsidRPr="003928ED">
        <w:rPr>
          <w:rStyle w:val="nfasis"/>
          <w:sz w:val="16"/>
          <w:szCs w:val="16"/>
        </w:rPr>
        <w:t xml:space="preserve"> </w:t>
      </w:r>
      <w:r w:rsidR="00A05F0A" w:rsidRPr="00A05F0A">
        <w:rPr>
          <w:b/>
          <w:bCs/>
          <w:i/>
          <w:sz w:val="16"/>
          <w:szCs w:val="16"/>
          <w:lang w:val="es-ES"/>
        </w:rPr>
        <w:t xml:space="preserve">Artículo 41. </w:t>
      </w:r>
      <w:r w:rsidR="00A05F0A" w:rsidRPr="00A05F0A">
        <w:rPr>
          <w:b/>
          <w:bCs/>
          <w:i/>
          <w:iCs/>
          <w:sz w:val="16"/>
          <w:szCs w:val="16"/>
          <w:lang w:val="es-ES"/>
        </w:rPr>
        <w:t>Unidad procesal.</w:t>
      </w:r>
      <w:r w:rsidR="00A05F0A" w:rsidRPr="00A05F0A">
        <w:rPr>
          <w:i/>
          <w:iCs/>
          <w:sz w:val="16"/>
          <w:szCs w:val="16"/>
          <w:lang w:val="es-ES"/>
        </w:rPr>
        <w:t xml:space="preserve"> </w:t>
      </w:r>
      <w:r w:rsidR="00A05F0A" w:rsidRPr="00A05F0A">
        <w:rPr>
          <w:i/>
          <w:sz w:val="16"/>
          <w:szCs w:val="16"/>
          <w:lang w:val="es-ES"/>
        </w:rPr>
        <w:t>Por cada hecho generador de responsabilidad administrativa se adelantará una sola actuación procesal, cualquiera sea el número de implicados; si se estuviera adelantando más de una actuación por el mismo asunto, se dispondrá mediante auto de trámite la agregación de las diligencias a aquellas que se encuentren más adelantadas.</w:t>
      </w:r>
      <w:r w:rsidRPr="003928ED">
        <w:rPr>
          <w:sz w:val="16"/>
          <w:szCs w:val="16"/>
        </w:rPr>
        <w:t>  </w:t>
      </w:r>
    </w:p>
    <w:p w14:paraId="3EEC14D2" w14:textId="77777777" w:rsidR="00C222AE" w:rsidRPr="003928ED" w:rsidRDefault="00C222AE" w:rsidP="00C222AE">
      <w:pPr>
        <w:pStyle w:val="Textonotapie"/>
        <w:rPr>
          <w:sz w:val="16"/>
          <w:szCs w:val="16"/>
          <w:lang w:val="es-MX"/>
        </w:rPr>
      </w:pPr>
    </w:p>
  </w:footnote>
  <w:footnote w:id="2">
    <w:p w14:paraId="4A0121D9" w14:textId="031E59D6" w:rsidR="00C222AE" w:rsidRDefault="00C222AE" w:rsidP="007061E7">
      <w:pPr>
        <w:pStyle w:val="Textonotapie"/>
        <w:rPr>
          <w:rFonts w:ascii="Times New Roman" w:hAnsi="Times New Roman"/>
          <w:b/>
          <w:i/>
          <w:sz w:val="16"/>
          <w:szCs w:val="16"/>
          <w:lang w:val="es-ES"/>
        </w:rPr>
      </w:pPr>
      <w:r w:rsidRPr="003928ED">
        <w:rPr>
          <w:rStyle w:val="Refdenotaalpie"/>
          <w:rFonts w:ascii="Times New Roman" w:hAnsi="Times New Roman"/>
          <w:b/>
          <w:i/>
          <w:sz w:val="16"/>
          <w:szCs w:val="16"/>
        </w:rPr>
        <w:footnoteRef/>
      </w:r>
      <w:r w:rsidRPr="003928ED">
        <w:rPr>
          <w:rFonts w:ascii="Times New Roman" w:hAnsi="Times New Roman"/>
          <w:b/>
          <w:i/>
          <w:sz w:val="16"/>
          <w:szCs w:val="16"/>
        </w:rPr>
        <w:t xml:space="preserve"> Ley </w:t>
      </w:r>
      <w:r w:rsidR="007061E7">
        <w:rPr>
          <w:rFonts w:ascii="Times New Roman" w:hAnsi="Times New Roman"/>
          <w:b/>
          <w:i/>
          <w:sz w:val="16"/>
          <w:szCs w:val="16"/>
        </w:rPr>
        <w:t>1564/2012.</w:t>
      </w:r>
      <w:r w:rsidRPr="003928ED">
        <w:rPr>
          <w:rFonts w:ascii="Times New Roman" w:hAnsi="Times New Roman"/>
          <w:b/>
          <w:i/>
          <w:sz w:val="16"/>
          <w:szCs w:val="16"/>
        </w:rPr>
        <w:t xml:space="preserve"> </w:t>
      </w:r>
      <w:r w:rsidR="007061E7" w:rsidRPr="007061E7">
        <w:rPr>
          <w:rFonts w:ascii="Times New Roman" w:hAnsi="Times New Roman"/>
          <w:b/>
          <w:i/>
          <w:sz w:val="16"/>
          <w:szCs w:val="16"/>
          <w:lang w:val="es-ES"/>
        </w:rPr>
        <w:t xml:space="preserve">Artículo 295. Notificaciones </w:t>
      </w:r>
      <w:r w:rsidR="007061E7">
        <w:rPr>
          <w:rFonts w:ascii="Times New Roman" w:hAnsi="Times New Roman"/>
          <w:b/>
          <w:i/>
          <w:sz w:val="16"/>
          <w:szCs w:val="16"/>
          <w:lang w:val="es-ES"/>
        </w:rPr>
        <w:t>p</w:t>
      </w:r>
      <w:r w:rsidR="007061E7" w:rsidRPr="007061E7">
        <w:rPr>
          <w:rFonts w:ascii="Times New Roman" w:hAnsi="Times New Roman"/>
          <w:b/>
          <w:i/>
          <w:sz w:val="16"/>
          <w:szCs w:val="16"/>
          <w:lang w:val="es-ES"/>
        </w:rPr>
        <w:t>or Estado. </w:t>
      </w:r>
      <w:r w:rsidR="007061E7" w:rsidRPr="007061E7">
        <w:rPr>
          <w:rFonts w:ascii="Times New Roman" w:hAnsi="Times New Roman"/>
          <w:i/>
          <w:sz w:val="16"/>
          <w:szCs w:val="16"/>
          <w:lang w:val="es-ES"/>
        </w:rPr>
        <w:t>Las notificaciones de autos y sentencias que no deban hacerse de otra manera se cumplirán por medio de anotación en estados que elaborará el Secretario.</w:t>
      </w:r>
    </w:p>
    <w:p w14:paraId="07F353BA" w14:textId="77777777" w:rsidR="007061E7" w:rsidRPr="003928ED" w:rsidRDefault="007061E7" w:rsidP="007061E7">
      <w:pPr>
        <w:pStyle w:val="Textonotapie"/>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126"/>
      <w:gridCol w:w="2552"/>
    </w:tblGrid>
    <w:tr w:rsidR="0050021D" w:rsidRPr="00333E73" w14:paraId="194ACA0E" w14:textId="77777777" w:rsidTr="0050021D">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14:paraId="4D3C424F" w14:textId="77777777" w:rsidR="0050021D" w:rsidRPr="00555D21" w:rsidRDefault="0050021D" w:rsidP="0050021D">
          <w:pPr>
            <w:pStyle w:val="Sinespaciado"/>
            <w:rPr>
              <w:rFonts w:ascii="Arial" w:hAnsi="Arial" w:cs="Arial"/>
              <w:b/>
              <w:sz w:val="16"/>
              <w:szCs w:val="16"/>
            </w:rPr>
          </w:pPr>
          <w:r>
            <w:rPr>
              <w:noProof/>
              <w:lang w:val="es-MX" w:eastAsia="es-MX"/>
            </w:rPr>
            <w:drawing>
              <wp:anchor distT="0" distB="0" distL="114300" distR="114300" simplePos="0" relativeHeight="251668480" behindDoc="0" locked="0" layoutInCell="1" allowOverlap="1" wp14:anchorId="75FFB7F7" wp14:editId="6E416D52">
                <wp:simplePos x="0" y="0"/>
                <wp:positionH relativeFrom="column">
                  <wp:posOffset>-55880</wp:posOffset>
                </wp:positionH>
                <wp:positionV relativeFrom="paragraph">
                  <wp:posOffset>13335</wp:posOffset>
                </wp:positionV>
                <wp:extent cx="606425" cy="575945"/>
                <wp:effectExtent l="0" t="0" r="317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555D21">
            <w:rPr>
              <w:rFonts w:ascii="Arial" w:hAnsi="Arial" w:cs="Arial"/>
              <w:b/>
              <w:sz w:val="16"/>
              <w:szCs w:val="16"/>
            </w:rPr>
            <w:t>MINISTERIO DE DEFENSA NACIONAL</w:t>
          </w:r>
        </w:p>
        <w:p w14:paraId="1BC8B7A7" w14:textId="77777777" w:rsidR="0050021D" w:rsidRPr="00555D21" w:rsidRDefault="0050021D" w:rsidP="0050021D">
          <w:pPr>
            <w:pStyle w:val="Sinespaciado"/>
            <w:rPr>
              <w:rFonts w:ascii="Arial" w:hAnsi="Arial" w:cs="Arial"/>
              <w:b/>
              <w:sz w:val="2"/>
              <w:szCs w:val="16"/>
            </w:rPr>
          </w:pPr>
        </w:p>
        <w:p w14:paraId="7E3A4B2B" w14:textId="77777777" w:rsidR="0050021D" w:rsidRPr="00555D21" w:rsidRDefault="0050021D" w:rsidP="0050021D">
          <w:pPr>
            <w:pStyle w:val="Sinespaciado"/>
            <w:rPr>
              <w:rFonts w:ascii="Arial" w:hAnsi="Arial" w:cs="Arial"/>
              <w:b/>
              <w:sz w:val="16"/>
              <w:szCs w:val="16"/>
            </w:rPr>
          </w:pPr>
          <w:r w:rsidRPr="00555D21">
            <w:rPr>
              <w:rFonts w:ascii="Arial" w:hAnsi="Arial" w:cs="Arial"/>
              <w:b/>
              <w:sz w:val="16"/>
              <w:szCs w:val="16"/>
            </w:rPr>
            <w:t xml:space="preserve">                     COMANDO GENERAL FUERZAS MILITARES</w:t>
          </w:r>
        </w:p>
        <w:p w14:paraId="1D62B818" w14:textId="77777777" w:rsidR="0050021D" w:rsidRPr="00555D21" w:rsidRDefault="0050021D" w:rsidP="0050021D">
          <w:pPr>
            <w:pStyle w:val="Sinespaciado"/>
            <w:rPr>
              <w:rFonts w:ascii="Arial" w:hAnsi="Arial" w:cs="Arial"/>
              <w:b/>
              <w:sz w:val="16"/>
              <w:szCs w:val="16"/>
            </w:rPr>
          </w:pPr>
          <w:r w:rsidRPr="00555D21">
            <w:rPr>
              <w:rFonts w:ascii="Arial" w:hAnsi="Arial" w:cs="Arial"/>
              <w:b/>
              <w:sz w:val="16"/>
              <w:szCs w:val="16"/>
            </w:rPr>
            <w:t xml:space="preserve">                     EJÉRCITO NACIONAL</w:t>
          </w:r>
        </w:p>
        <w:p w14:paraId="6F3D33C7" w14:textId="77777777" w:rsidR="0050021D" w:rsidRPr="00555D21" w:rsidRDefault="0050021D" w:rsidP="0050021D">
          <w:pPr>
            <w:pStyle w:val="Sinespaciado"/>
            <w:rPr>
              <w:rFonts w:ascii="Arial" w:hAnsi="Arial" w:cs="Arial"/>
              <w:b/>
              <w:sz w:val="16"/>
              <w:szCs w:val="16"/>
            </w:rPr>
          </w:pPr>
          <w:r w:rsidRPr="00555D21">
            <w:rPr>
              <w:rFonts w:ascii="Arial" w:hAnsi="Arial" w:cs="Arial"/>
              <w:b/>
              <w:sz w:val="16"/>
              <w:szCs w:val="16"/>
            </w:rPr>
            <w:t xml:space="preserve">                     DIRECCIÓN DE ASUNTOS DISCIPLINARIOS Y</w:t>
          </w:r>
        </w:p>
        <w:p w14:paraId="19F848F0" w14:textId="6FD7DC61" w:rsidR="0050021D" w:rsidRPr="00333E73" w:rsidRDefault="0050021D" w:rsidP="0050021D">
          <w:pPr>
            <w:pStyle w:val="Sinespaciado"/>
            <w:rPr>
              <w:sz w:val="16"/>
            </w:rPr>
          </w:pPr>
          <w:r w:rsidRPr="00555D21">
            <w:rPr>
              <w:rFonts w:ascii="Arial" w:hAnsi="Arial" w:cs="Arial"/>
              <w:b/>
              <w:sz w:val="16"/>
              <w:szCs w:val="16"/>
            </w:rPr>
            <w:t xml:space="preserve">                     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512EB8A" w14:textId="77777777" w:rsidR="0050021D" w:rsidRPr="00506A91" w:rsidRDefault="0050021D" w:rsidP="0050021D">
          <w:pPr>
            <w:suppressLineNumbers/>
            <w:tabs>
              <w:tab w:val="center" w:pos="4818"/>
              <w:tab w:val="right" w:pos="9637"/>
            </w:tabs>
            <w:contextualSpacing/>
            <w:jc w:val="center"/>
            <w:rPr>
              <w:rFonts w:ascii="Arial" w:hAnsi="Arial" w:cs="Arial"/>
              <w:b/>
              <w:color w:val="000000" w:themeColor="text1"/>
              <w:sz w:val="16"/>
              <w:szCs w:val="20"/>
            </w:rPr>
          </w:pPr>
          <w:r w:rsidRPr="0050021D">
            <w:rPr>
              <w:rFonts w:ascii="Arial" w:hAnsi="Arial" w:cs="Arial"/>
              <w:b/>
              <w:sz w:val="18"/>
              <w:szCs w:val="20"/>
            </w:rPr>
            <w:t>AUTO DE RUPTURA DE UNIDAD PROCESAL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E2EA7F" w14:textId="4AB0E028" w:rsidR="0050021D" w:rsidRPr="00333E73" w:rsidRDefault="0050021D" w:rsidP="0050021D">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454782">
            <w:rPr>
              <w:rFonts w:ascii="Arial" w:hAnsi="Arial" w:cs="Arial"/>
              <w:noProof/>
              <w:sz w:val="16"/>
              <w:szCs w:val="16"/>
            </w:rPr>
            <w:t>4</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4</w:t>
          </w:r>
        </w:p>
      </w:tc>
    </w:tr>
    <w:tr w:rsidR="0050021D" w:rsidRPr="00333E73" w14:paraId="5F0EEE20" w14:textId="77777777" w:rsidTr="0050021D">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65362C3D" w14:textId="77777777" w:rsidR="0050021D" w:rsidRDefault="0050021D" w:rsidP="0050021D">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A4BFFFE" w14:textId="77777777" w:rsidR="0050021D" w:rsidRPr="00333E73" w:rsidRDefault="0050021D" w:rsidP="0050021D">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0A89954" w14:textId="77777777" w:rsidR="0050021D" w:rsidRPr="00333E73" w:rsidRDefault="0050021D" w:rsidP="0050021D">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w:t>
          </w:r>
          <w:r>
            <w:rPr>
              <w:rStyle w:val="span"/>
              <w:rFonts w:ascii="Arial" w:hAnsi="Arial" w:cs="Arial"/>
              <w:sz w:val="16"/>
              <w:szCs w:val="16"/>
            </w:rPr>
            <w:t>2300</w:t>
          </w:r>
        </w:p>
      </w:tc>
    </w:tr>
    <w:tr w:rsidR="0050021D" w:rsidRPr="00333E73" w14:paraId="08EFC7E1" w14:textId="77777777" w:rsidTr="0050021D">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5AD22DD2" w14:textId="77777777" w:rsidR="0050021D" w:rsidRDefault="0050021D" w:rsidP="0050021D">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C34C1AE" w14:textId="77777777" w:rsidR="0050021D" w:rsidRPr="00333E73" w:rsidRDefault="0050021D" w:rsidP="0050021D">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EF71BBC" w14:textId="77777777" w:rsidR="0050021D" w:rsidRPr="00333E73" w:rsidRDefault="0050021D" w:rsidP="0050021D">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1</w:t>
          </w:r>
        </w:p>
      </w:tc>
    </w:tr>
    <w:tr w:rsidR="0050021D" w:rsidRPr="00333E73" w14:paraId="538D7CF5" w14:textId="77777777" w:rsidTr="0050021D">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71D3A846" w14:textId="77777777" w:rsidR="0050021D" w:rsidRDefault="0050021D" w:rsidP="0050021D">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EB85B5" w14:textId="77777777" w:rsidR="0050021D" w:rsidRPr="00333E73" w:rsidRDefault="0050021D" w:rsidP="0050021D">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9754964" w14:textId="51A36413" w:rsidR="0050021D" w:rsidRPr="00333E73" w:rsidRDefault="0050021D" w:rsidP="0050021D">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sidR="00454782">
            <w:rPr>
              <w:rFonts w:ascii="Arial" w:hAnsi="Arial" w:cs="Arial"/>
              <w:sz w:val="16"/>
              <w:szCs w:val="16"/>
            </w:rPr>
            <w:t>2026-02-11</w:t>
          </w:r>
        </w:p>
      </w:tc>
    </w:tr>
  </w:tbl>
  <w:p w14:paraId="14C92341" w14:textId="3584291D" w:rsidR="00B62E4C" w:rsidRPr="0036140D" w:rsidRDefault="00B62E4C" w:rsidP="00CE56BD">
    <w:pPr>
      <w:pStyle w:val="Encabezado"/>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2835"/>
      <w:gridCol w:w="2693"/>
    </w:tblGrid>
    <w:tr w:rsidR="00B62E4C" w14:paraId="0F17CDB5" w14:textId="77777777" w:rsidTr="00333E73">
      <w:trPr>
        <w:trHeight w:val="303"/>
      </w:trPr>
      <w:tc>
        <w:tcPr>
          <w:tcW w:w="4254" w:type="dxa"/>
          <w:vMerge w:val="restart"/>
          <w:tcBorders>
            <w:top w:val="single" w:sz="4" w:space="0" w:color="auto"/>
            <w:left w:val="single" w:sz="4" w:space="0" w:color="auto"/>
            <w:bottom w:val="single" w:sz="4" w:space="0" w:color="auto"/>
            <w:right w:val="single" w:sz="4" w:space="0" w:color="auto"/>
          </w:tcBorders>
          <w:vAlign w:val="center"/>
        </w:tcPr>
        <w:p w14:paraId="45B7E393" w14:textId="77777777" w:rsidR="00B62E4C" w:rsidRDefault="00B62E4C" w:rsidP="00B627F9">
          <w:pPr>
            <w:spacing w:line="276" w:lineRule="auto"/>
            <w:ind w:left="602" w:hanging="141"/>
            <w:rPr>
              <w:rFonts w:ascii="Arial" w:hAnsi="Arial" w:cs="Arial"/>
              <w:b/>
              <w:bCs/>
              <w:sz w:val="2"/>
              <w:szCs w:val="16"/>
              <w:lang w:eastAsia="en-US"/>
            </w:rPr>
          </w:pPr>
        </w:p>
        <w:p w14:paraId="3AA24AC1" w14:textId="77777777" w:rsidR="00B62E4C" w:rsidRDefault="00B62E4C" w:rsidP="00B627F9">
          <w:pPr>
            <w:spacing w:line="276" w:lineRule="auto"/>
            <w:ind w:left="602"/>
            <w:rPr>
              <w:rFonts w:ascii="Arial" w:hAnsi="Arial" w:cs="Arial"/>
              <w:b/>
              <w:bCs/>
              <w:sz w:val="16"/>
              <w:szCs w:val="16"/>
              <w:lang w:eastAsia="en-US"/>
            </w:rPr>
          </w:pPr>
          <w:r>
            <w:rPr>
              <w:noProof/>
              <w:lang w:val="es-MX" w:eastAsia="es-MX"/>
            </w:rPr>
            <w:drawing>
              <wp:anchor distT="0" distB="0" distL="114300" distR="114300" simplePos="0" relativeHeight="251658240" behindDoc="0" locked="0" layoutInCell="1" allowOverlap="1" wp14:anchorId="79ACF2B2" wp14:editId="7AE77FEF">
                <wp:simplePos x="0" y="0"/>
                <wp:positionH relativeFrom="column">
                  <wp:posOffset>-25400</wp:posOffset>
                </wp:positionH>
                <wp:positionV relativeFrom="paragraph">
                  <wp:posOffset>-1905</wp:posOffset>
                </wp:positionV>
                <wp:extent cx="397510" cy="509905"/>
                <wp:effectExtent l="0" t="0" r="2540" b="444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MINISTERIO DE DEFENSA NACIONAL</w:t>
          </w:r>
        </w:p>
        <w:p w14:paraId="7F1AAB78" w14:textId="77777777" w:rsidR="00B62E4C" w:rsidRDefault="00B62E4C"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COMANDO GENERAL FUERZAS MILITARES</w:t>
          </w:r>
        </w:p>
        <w:p w14:paraId="3D31273C" w14:textId="77777777" w:rsidR="00B62E4C" w:rsidRDefault="00B62E4C" w:rsidP="00B627F9">
          <w:pPr>
            <w:spacing w:line="276" w:lineRule="auto"/>
            <w:ind w:left="602" w:hanging="141"/>
            <w:rPr>
              <w:rFonts w:ascii="Arial" w:hAnsi="Arial" w:cs="Arial"/>
              <w:b/>
              <w:bCs/>
              <w:sz w:val="2"/>
              <w:szCs w:val="16"/>
              <w:lang w:eastAsia="en-US"/>
            </w:rPr>
          </w:pPr>
        </w:p>
        <w:p w14:paraId="21BB0064" w14:textId="77777777" w:rsidR="00B62E4C" w:rsidRDefault="00B62E4C"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EJÉRCITO NACIONAL</w:t>
          </w:r>
        </w:p>
        <w:p w14:paraId="1E0ABCC5" w14:textId="77777777" w:rsidR="00B62E4C" w:rsidRPr="00333E73" w:rsidRDefault="00B62E4C" w:rsidP="00333E73">
          <w:pPr>
            <w:spacing w:line="276" w:lineRule="auto"/>
            <w:ind w:left="602"/>
            <w:rPr>
              <w:rFonts w:ascii="Arial" w:hAnsi="Arial" w:cs="Arial"/>
              <w:b/>
              <w:bCs/>
              <w:sz w:val="16"/>
              <w:szCs w:val="16"/>
              <w:lang w:eastAsia="en-US"/>
            </w:rPr>
          </w:pPr>
          <w:r>
            <w:rPr>
              <w:rFonts w:ascii="Arial" w:hAnsi="Arial" w:cs="Arial"/>
              <w:b/>
              <w:bCs/>
              <w:sz w:val="16"/>
              <w:szCs w:val="16"/>
              <w:lang w:eastAsia="en-US"/>
            </w:rPr>
            <w:t>DEPARTAMENTO JURÍDICO INTEGRAL</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1CF88D23" w14:textId="2145BD17" w:rsidR="00B62E4C" w:rsidRPr="00E64F6A" w:rsidRDefault="00C222AE" w:rsidP="00C222AE">
          <w:pPr>
            <w:suppressLineNumbers/>
            <w:tabs>
              <w:tab w:val="center" w:pos="4818"/>
              <w:tab w:val="right" w:pos="9637"/>
            </w:tabs>
            <w:spacing w:line="276" w:lineRule="auto"/>
            <w:ind w:left="34"/>
            <w:jc w:val="center"/>
            <w:rPr>
              <w:rFonts w:ascii="Arial" w:hAnsi="Arial" w:cs="Arial"/>
              <w:b/>
              <w:color w:val="000000"/>
              <w:sz w:val="28"/>
              <w:szCs w:val="20"/>
              <w:lang w:eastAsia="en-US"/>
            </w:rPr>
          </w:pPr>
          <w:r w:rsidRPr="00E64F6A">
            <w:rPr>
              <w:rFonts w:ascii="Arial" w:hAnsi="Arial" w:cs="Arial"/>
              <w:b/>
              <w:color w:val="000000"/>
              <w:sz w:val="22"/>
              <w:szCs w:val="20"/>
              <w:lang w:eastAsia="en-US"/>
            </w:rPr>
            <w:t>AUTO DE RUPTURA DE UNIDAD PROCESAL</w:t>
          </w:r>
          <w:r w:rsidR="003F02FB" w:rsidRPr="00E64F6A">
            <w:rPr>
              <w:rFonts w:ascii="Arial" w:hAnsi="Arial" w:cs="Arial"/>
              <w:b/>
              <w:color w:val="000000"/>
              <w:sz w:val="22"/>
              <w:szCs w:val="20"/>
              <w:lang w:eastAsia="en-US"/>
            </w:rPr>
            <w:t xml:space="preserve"> EN LA ACTUACIÓN ADMINISTRATIVA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64B3AB4" w14:textId="04AA7295" w:rsidR="00B62E4C" w:rsidRPr="00E64F6A" w:rsidRDefault="00B62E4C" w:rsidP="00B627F9">
          <w:pPr>
            <w:spacing w:line="276" w:lineRule="auto"/>
            <w:rPr>
              <w:rFonts w:ascii="Arial" w:hAnsi="Arial" w:cs="Arial"/>
              <w:b/>
              <w:bCs/>
              <w:color w:val="000000"/>
              <w:sz w:val="16"/>
              <w:szCs w:val="16"/>
              <w:lang w:eastAsia="en-US"/>
            </w:rPr>
          </w:pPr>
          <w:r w:rsidRPr="00E64F6A">
            <w:rPr>
              <w:rFonts w:ascii="Arial" w:hAnsi="Arial" w:cs="Arial"/>
              <w:b/>
              <w:bCs/>
              <w:color w:val="000000"/>
              <w:sz w:val="16"/>
              <w:szCs w:val="16"/>
              <w:lang w:eastAsia="en-US"/>
            </w:rPr>
            <w:t>Pág.</w:t>
          </w:r>
          <w:r w:rsidRPr="00E64F6A">
            <w:rPr>
              <w:rFonts w:ascii="Arial" w:hAnsi="Arial" w:cs="Arial"/>
              <w:color w:val="000000"/>
              <w:sz w:val="16"/>
              <w:szCs w:val="16"/>
              <w:lang w:eastAsia="en-US"/>
            </w:rPr>
            <w:t xml:space="preserve"> </w:t>
          </w:r>
          <w:r w:rsidRPr="00E64F6A">
            <w:rPr>
              <w:rFonts w:ascii="Arial" w:hAnsi="Arial" w:cs="Arial"/>
              <w:color w:val="000000"/>
              <w:sz w:val="16"/>
              <w:szCs w:val="16"/>
              <w:lang w:eastAsia="en-US"/>
            </w:rPr>
            <w:fldChar w:fldCharType="begin"/>
          </w:r>
          <w:r w:rsidRPr="00E64F6A">
            <w:rPr>
              <w:rFonts w:ascii="Arial" w:hAnsi="Arial" w:cs="Arial"/>
              <w:color w:val="000000"/>
              <w:sz w:val="16"/>
              <w:szCs w:val="16"/>
              <w:lang w:eastAsia="en-US"/>
            </w:rPr>
            <w:instrText>PAGE   \* MERGEFORMAT</w:instrText>
          </w:r>
          <w:r w:rsidRPr="00E64F6A">
            <w:rPr>
              <w:rFonts w:ascii="Arial" w:hAnsi="Arial" w:cs="Arial"/>
              <w:color w:val="000000"/>
              <w:sz w:val="16"/>
              <w:szCs w:val="16"/>
              <w:lang w:eastAsia="en-US"/>
            </w:rPr>
            <w:fldChar w:fldCharType="separate"/>
          </w:r>
          <w:r w:rsidR="00617B04">
            <w:rPr>
              <w:rFonts w:ascii="Arial" w:hAnsi="Arial" w:cs="Arial"/>
              <w:noProof/>
              <w:color w:val="000000"/>
              <w:sz w:val="16"/>
              <w:szCs w:val="16"/>
              <w:lang w:eastAsia="en-US"/>
            </w:rPr>
            <w:t>1</w:t>
          </w:r>
          <w:r w:rsidRPr="00E64F6A">
            <w:rPr>
              <w:rFonts w:ascii="Arial" w:hAnsi="Arial" w:cs="Arial"/>
              <w:color w:val="000000"/>
              <w:sz w:val="16"/>
              <w:szCs w:val="16"/>
              <w:lang w:eastAsia="en-US"/>
            </w:rPr>
            <w:fldChar w:fldCharType="end"/>
          </w:r>
          <w:r w:rsidRPr="00E64F6A">
            <w:rPr>
              <w:rFonts w:ascii="Arial" w:hAnsi="Arial" w:cs="Arial"/>
              <w:color w:val="000000"/>
              <w:sz w:val="16"/>
              <w:szCs w:val="16"/>
              <w:lang w:eastAsia="en-US"/>
            </w:rPr>
            <w:t xml:space="preserve"> de </w:t>
          </w:r>
          <w:r w:rsidRPr="00E64F6A">
            <w:rPr>
              <w:rFonts w:ascii="Arial" w:hAnsi="Arial" w:cs="Arial"/>
              <w:color w:val="000000"/>
              <w:sz w:val="16"/>
              <w:szCs w:val="16"/>
              <w:lang w:eastAsia="en-US"/>
            </w:rPr>
            <w:fldChar w:fldCharType="begin"/>
          </w:r>
          <w:r w:rsidRPr="00E64F6A">
            <w:rPr>
              <w:rFonts w:ascii="Arial" w:hAnsi="Arial" w:cs="Arial"/>
              <w:color w:val="000000"/>
              <w:sz w:val="16"/>
              <w:szCs w:val="16"/>
              <w:lang w:eastAsia="en-US"/>
            </w:rPr>
            <w:instrText xml:space="preserve"> NUMPAGES   \* MERGEFORMAT </w:instrText>
          </w:r>
          <w:r w:rsidRPr="00E64F6A">
            <w:rPr>
              <w:rFonts w:ascii="Arial" w:hAnsi="Arial" w:cs="Arial"/>
              <w:color w:val="000000"/>
              <w:sz w:val="16"/>
              <w:szCs w:val="16"/>
              <w:lang w:eastAsia="en-US"/>
            </w:rPr>
            <w:fldChar w:fldCharType="separate"/>
          </w:r>
          <w:r w:rsidR="00617B04">
            <w:rPr>
              <w:rFonts w:ascii="Arial" w:hAnsi="Arial" w:cs="Arial"/>
              <w:noProof/>
              <w:color w:val="000000"/>
              <w:sz w:val="16"/>
              <w:szCs w:val="16"/>
              <w:lang w:eastAsia="en-US"/>
            </w:rPr>
            <w:t>4</w:t>
          </w:r>
          <w:r w:rsidRPr="00E64F6A">
            <w:rPr>
              <w:rFonts w:ascii="Arial" w:hAnsi="Arial" w:cs="Arial"/>
              <w:color w:val="000000"/>
              <w:sz w:val="16"/>
              <w:szCs w:val="16"/>
              <w:lang w:eastAsia="en-US"/>
            </w:rPr>
            <w:fldChar w:fldCharType="end"/>
          </w:r>
        </w:p>
      </w:tc>
    </w:tr>
    <w:tr w:rsidR="00B62E4C" w14:paraId="3BA90700" w14:textId="77777777" w:rsidTr="00333E73">
      <w:trPr>
        <w:trHeight w:val="243"/>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1F3B42B7" w14:textId="77777777" w:rsidR="00B62E4C" w:rsidRDefault="00B62E4C"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F7B3588" w14:textId="77777777" w:rsidR="00B62E4C" w:rsidRPr="00E64F6A" w:rsidRDefault="00B62E4C"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4C16E15" w14:textId="5701837D" w:rsidR="00B62E4C" w:rsidRPr="00E64F6A" w:rsidRDefault="00B62E4C" w:rsidP="00321E10">
          <w:pPr>
            <w:suppressLineNumbers/>
            <w:tabs>
              <w:tab w:val="center" w:pos="4818"/>
              <w:tab w:val="right" w:pos="9637"/>
            </w:tabs>
            <w:spacing w:line="276" w:lineRule="auto"/>
            <w:rPr>
              <w:rFonts w:ascii="Arial" w:hAnsi="Arial" w:cs="Arial"/>
              <w:color w:val="000000"/>
              <w:sz w:val="16"/>
              <w:szCs w:val="16"/>
              <w:lang w:eastAsia="en-US"/>
            </w:rPr>
          </w:pPr>
          <w:r w:rsidRPr="00E64F6A">
            <w:rPr>
              <w:rFonts w:ascii="Arial" w:hAnsi="Arial" w:cs="Arial"/>
              <w:b/>
              <w:color w:val="000000"/>
              <w:sz w:val="16"/>
              <w:szCs w:val="16"/>
              <w:lang w:eastAsia="en-US"/>
            </w:rPr>
            <w:t>Código</w:t>
          </w:r>
          <w:r w:rsidRPr="00E64F6A">
            <w:rPr>
              <w:rFonts w:ascii="Arial" w:hAnsi="Arial" w:cs="Arial"/>
              <w:color w:val="000000"/>
              <w:sz w:val="16"/>
              <w:szCs w:val="16"/>
              <w:lang w:eastAsia="en-US"/>
            </w:rPr>
            <w:t xml:space="preserve">: </w:t>
          </w:r>
        </w:p>
      </w:tc>
    </w:tr>
    <w:tr w:rsidR="00B62E4C" w14:paraId="0D592A38" w14:textId="77777777" w:rsidTr="00333E73">
      <w:trPr>
        <w:trHeight w:val="296"/>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5E7E7014" w14:textId="77777777" w:rsidR="00B62E4C" w:rsidRDefault="00B62E4C"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39E8A61" w14:textId="77777777" w:rsidR="00B62E4C" w:rsidRPr="00E64F6A" w:rsidRDefault="00B62E4C"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42F8048" w14:textId="20DDDC9A" w:rsidR="00B62E4C" w:rsidRPr="00E64F6A" w:rsidRDefault="00B62E4C" w:rsidP="00B627F9">
          <w:pPr>
            <w:suppressLineNumbers/>
            <w:tabs>
              <w:tab w:val="center" w:pos="4818"/>
              <w:tab w:val="right" w:pos="9637"/>
            </w:tabs>
            <w:spacing w:line="276" w:lineRule="auto"/>
            <w:rPr>
              <w:rFonts w:ascii="Arial" w:hAnsi="Arial" w:cs="Arial"/>
              <w:color w:val="000000"/>
              <w:sz w:val="16"/>
              <w:szCs w:val="16"/>
              <w:lang w:eastAsia="en-US"/>
            </w:rPr>
          </w:pPr>
          <w:r w:rsidRPr="00E64F6A">
            <w:rPr>
              <w:rFonts w:ascii="Arial" w:hAnsi="Arial" w:cs="Arial"/>
              <w:b/>
              <w:color w:val="000000"/>
              <w:sz w:val="16"/>
              <w:szCs w:val="16"/>
              <w:lang w:eastAsia="en-US"/>
            </w:rPr>
            <w:t>Versión:</w:t>
          </w:r>
          <w:r w:rsidRPr="00E64F6A">
            <w:rPr>
              <w:rFonts w:ascii="Arial" w:hAnsi="Arial" w:cs="Arial"/>
              <w:color w:val="000000"/>
              <w:sz w:val="16"/>
              <w:szCs w:val="16"/>
              <w:lang w:eastAsia="en-US"/>
            </w:rPr>
            <w:t xml:space="preserve"> </w:t>
          </w:r>
        </w:p>
      </w:tc>
    </w:tr>
    <w:tr w:rsidR="00B62E4C" w14:paraId="711C1E81" w14:textId="77777777" w:rsidTr="00333E73">
      <w:trPr>
        <w:trHeight w:val="260"/>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30B55493" w14:textId="77777777" w:rsidR="00B62E4C" w:rsidRDefault="00B62E4C"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7A6804" w14:textId="77777777" w:rsidR="00B62E4C" w:rsidRPr="00E64F6A" w:rsidRDefault="00B62E4C" w:rsidP="00B627F9">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DF52868" w14:textId="4D506212" w:rsidR="00B62E4C" w:rsidRPr="00E64F6A" w:rsidRDefault="00B62E4C" w:rsidP="00321E10">
          <w:pPr>
            <w:suppressLineNumbers/>
            <w:tabs>
              <w:tab w:val="center" w:pos="4818"/>
              <w:tab w:val="right" w:pos="9637"/>
            </w:tabs>
            <w:spacing w:line="276" w:lineRule="auto"/>
            <w:rPr>
              <w:rFonts w:ascii="Arial" w:hAnsi="Arial" w:cs="Arial"/>
              <w:color w:val="000000"/>
              <w:sz w:val="16"/>
              <w:szCs w:val="16"/>
              <w:lang w:eastAsia="en-US"/>
            </w:rPr>
          </w:pPr>
          <w:r w:rsidRPr="00E64F6A">
            <w:rPr>
              <w:rFonts w:ascii="Arial" w:hAnsi="Arial" w:cs="Arial"/>
              <w:b/>
              <w:color w:val="000000"/>
              <w:sz w:val="16"/>
              <w:szCs w:val="16"/>
              <w:lang w:eastAsia="en-US"/>
            </w:rPr>
            <w:t xml:space="preserve">Fecha de emisión: </w:t>
          </w:r>
        </w:p>
      </w:tc>
    </w:tr>
  </w:tbl>
  <w:p w14:paraId="5ECB3D76" w14:textId="77777777" w:rsidR="00B62E4C" w:rsidRDefault="00B62E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67FA5"/>
    <w:multiLevelType w:val="hybridMultilevel"/>
    <w:tmpl w:val="A95E1A42"/>
    <w:lvl w:ilvl="0" w:tplc="CEE84D8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7E50FCC"/>
    <w:multiLevelType w:val="multilevel"/>
    <w:tmpl w:val="711CB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5" w15:restartNumberingAfterBreak="0">
    <w:nsid w:val="6ED239B5"/>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77DB584F"/>
    <w:multiLevelType w:val="hybridMultilevel"/>
    <w:tmpl w:val="A7BC4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8AD4498"/>
    <w:multiLevelType w:val="multilevel"/>
    <w:tmpl w:val="769E0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6"/>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BD"/>
    <w:rsid w:val="000017D6"/>
    <w:rsid w:val="0000448A"/>
    <w:rsid w:val="00006EC3"/>
    <w:rsid w:val="00016885"/>
    <w:rsid w:val="00016BEF"/>
    <w:rsid w:val="00021ED8"/>
    <w:rsid w:val="00022150"/>
    <w:rsid w:val="00025FA6"/>
    <w:rsid w:val="00027791"/>
    <w:rsid w:val="000318BD"/>
    <w:rsid w:val="0003759E"/>
    <w:rsid w:val="0005414E"/>
    <w:rsid w:val="00056E87"/>
    <w:rsid w:val="00064D9C"/>
    <w:rsid w:val="000652D7"/>
    <w:rsid w:val="000676D1"/>
    <w:rsid w:val="00067719"/>
    <w:rsid w:val="00070B53"/>
    <w:rsid w:val="00076388"/>
    <w:rsid w:val="00077E29"/>
    <w:rsid w:val="00080708"/>
    <w:rsid w:val="000822F4"/>
    <w:rsid w:val="0008284F"/>
    <w:rsid w:val="00084235"/>
    <w:rsid w:val="00086B3F"/>
    <w:rsid w:val="00095279"/>
    <w:rsid w:val="0009677D"/>
    <w:rsid w:val="000A48B1"/>
    <w:rsid w:val="000B1D2F"/>
    <w:rsid w:val="000B3AB5"/>
    <w:rsid w:val="000B6186"/>
    <w:rsid w:val="000B69BD"/>
    <w:rsid w:val="000D012E"/>
    <w:rsid w:val="000D267C"/>
    <w:rsid w:val="000D5395"/>
    <w:rsid w:val="000E04F1"/>
    <w:rsid w:val="000E2896"/>
    <w:rsid w:val="000E2E5C"/>
    <w:rsid w:val="000E36D7"/>
    <w:rsid w:val="000E453A"/>
    <w:rsid w:val="000E544D"/>
    <w:rsid w:val="000E6BBD"/>
    <w:rsid w:val="001029C5"/>
    <w:rsid w:val="00107798"/>
    <w:rsid w:val="001105E7"/>
    <w:rsid w:val="00110BC9"/>
    <w:rsid w:val="00111D0A"/>
    <w:rsid w:val="0011343E"/>
    <w:rsid w:val="00113935"/>
    <w:rsid w:val="001168A4"/>
    <w:rsid w:val="00133584"/>
    <w:rsid w:val="001411E5"/>
    <w:rsid w:val="001415F8"/>
    <w:rsid w:val="001519FC"/>
    <w:rsid w:val="00165744"/>
    <w:rsid w:val="00166210"/>
    <w:rsid w:val="00170FFB"/>
    <w:rsid w:val="001749D1"/>
    <w:rsid w:val="00181623"/>
    <w:rsid w:val="00187892"/>
    <w:rsid w:val="001927E3"/>
    <w:rsid w:val="00194B9A"/>
    <w:rsid w:val="00196E58"/>
    <w:rsid w:val="001A1DA8"/>
    <w:rsid w:val="001A2980"/>
    <w:rsid w:val="001A39B8"/>
    <w:rsid w:val="001B155D"/>
    <w:rsid w:val="001B6478"/>
    <w:rsid w:val="001B6772"/>
    <w:rsid w:val="001B7242"/>
    <w:rsid w:val="001D0252"/>
    <w:rsid w:val="001D3B50"/>
    <w:rsid w:val="001D4445"/>
    <w:rsid w:val="001D450B"/>
    <w:rsid w:val="001E03E5"/>
    <w:rsid w:val="001E16CF"/>
    <w:rsid w:val="001E3E90"/>
    <w:rsid w:val="001E4CB7"/>
    <w:rsid w:val="001E6CC6"/>
    <w:rsid w:val="001F053D"/>
    <w:rsid w:val="001F16B0"/>
    <w:rsid w:val="001F55D9"/>
    <w:rsid w:val="00202F98"/>
    <w:rsid w:val="00205B4E"/>
    <w:rsid w:val="0020720D"/>
    <w:rsid w:val="0021429E"/>
    <w:rsid w:val="002173A6"/>
    <w:rsid w:val="00225452"/>
    <w:rsid w:val="00232953"/>
    <w:rsid w:val="0023350E"/>
    <w:rsid w:val="00240393"/>
    <w:rsid w:val="0024208A"/>
    <w:rsid w:val="00242F4B"/>
    <w:rsid w:val="00246C8D"/>
    <w:rsid w:val="00251563"/>
    <w:rsid w:val="00252056"/>
    <w:rsid w:val="00252AC5"/>
    <w:rsid w:val="00253B2E"/>
    <w:rsid w:val="0026538A"/>
    <w:rsid w:val="00273DC0"/>
    <w:rsid w:val="002754AF"/>
    <w:rsid w:val="002812B9"/>
    <w:rsid w:val="002817B1"/>
    <w:rsid w:val="00285DFF"/>
    <w:rsid w:val="002912AF"/>
    <w:rsid w:val="00297190"/>
    <w:rsid w:val="002A1ED9"/>
    <w:rsid w:val="002B30E2"/>
    <w:rsid w:val="002C03B2"/>
    <w:rsid w:val="002D0652"/>
    <w:rsid w:val="002D0885"/>
    <w:rsid w:val="002D5E02"/>
    <w:rsid w:val="002E2E8A"/>
    <w:rsid w:val="002E380C"/>
    <w:rsid w:val="002E6C83"/>
    <w:rsid w:val="002F19E7"/>
    <w:rsid w:val="00314F7F"/>
    <w:rsid w:val="0031721E"/>
    <w:rsid w:val="0032171E"/>
    <w:rsid w:val="00321DC7"/>
    <w:rsid w:val="00321E10"/>
    <w:rsid w:val="00324265"/>
    <w:rsid w:val="003304A8"/>
    <w:rsid w:val="00333E73"/>
    <w:rsid w:val="00334D66"/>
    <w:rsid w:val="00337149"/>
    <w:rsid w:val="003421CC"/>
    <w:rsid w:val="00343637"/>
    <w:rsid w:val="00343666"/>
    <w:rsid w:val="003451E2"/>
    <w:rsid w:val="0034522F"/>
    <w:rsid w:val="003455C1"/>
    <w:rsid w:val="00346E8A"/>
    <w:rsid w:val="003504E0"/>
    <w:rsid w:val="00352374"/>
    <w:rsid w:val="00353692"/>
    <w:rsid w:val="00353852"/>
    <w:rsid w:val="00353900"/>
    <w:rsid w:val="0036140D"/>
    <w:rsid w:val="00364077"/>
    <w:rsid w:val="00371FAD"/>
    <w:rsid w:val="003731CE"/>
    <w:rsid w:val="0037427A"/>
    <w:rsid w:val="00375F18"/>
    <w:rsid w:val="003763DA"/>
    <w:rsid w:val="00382A24"/>
    <w:rsid w:val="00385DEA"/>
    <w:rsid w:val="00385E35"/>
    <w:rsid w:val="00386EC1"/>
    <w:rsid w:val="00394877"/>
    <w:rsid w:val="003A0B89"/>
    <w:rsid w:val="003A0E13"/>
    <w:rsid w:val="003A2D12"/>
    <w:rsid w:val="003A4C8E"/>
    <w:rsid w:val="003B2E06"/>
    <w:rsid w:val="003B4DB6"/>
    <w:rsid w:val="003B58B3"/>
    <w:rsid w:val="003B7343"/>
    <w:rsid w:val="003B7EDD"/>
    <w:rsid w:val="003C657C"/>
    <w:rsid w:val="003D5423"/>
    <w:rsid w:val="003E23E8"/>
    <w:rsid w:val="003E6DB9"/>
    <w:rsid w:val="003E6E8C"/>
    <w:rsid w:val="003E79FA"/>
    <w:rsid w:val="003E7C23"/>
    <w:rsid w:val="003F02FB"/>
    <w:rsid w:val="003F0C2D"/>
    <w:rsid w:val="0040122E"/>
    <w:rsid w:val="00402264"/>
    <w:rsid w:val="004058FC"/>
    <w:rsid w:val="00406E67"/>
    <w:rsid w:val="004114BD"/>
    <w:rsid w:val="004131A8"/>
    <w:rsid w:val="0041400B"/>
    <w:rsid w:val="004156D9"/>
    <w:rsid w:val="004237EE"/>
    <w:rsid w:val="004264EC"/>
    <w:rsid w:val="00436DD2"/>
    <w:rsid w:val="004451F2"/>
    <w:rsid w:val="004473E6"/>
    <w:rsid w:val="004501B8"/>
    <w:rsid w:val="004505C7"/>
    <w:rsid w:val="00451E36"/>
    <w:rsid w:val="00454782"/>
    <w:rsid w:val="00461078"/>
    <w:rsid w:val="00463A63"/>
    <w:rsid w:val="004640C7"/>
    <w:rsid w:val="004646BC"/>
    <w:rsid w:val="00482A59"/>
    <w:rsid w:val="0048781B"/>
    <w:rsid w:val="0049065D"/>
    <w:rsid w:val="00495420"/>
    <w:rsid w:val="004A0DD6"/>
    <w:rsid w:val="004A42B7"/>
    <w:rsid w:val="004A439C"/>
    <w:rsid w:val="004B2214"/>
    <w:rsid w:val="004B436E"/>
    <w:rsid w:val="004C4FA6"/>
    <w:rsid w:val="004D31A7"/>
    <w:rsid w:val="004D36D2"/>
    <w:rsid w:val="004D60F6"/>
    <w:rsid w:val="004D7FBD"/>
    <w:rsid w:val="004E2C1C"/>
    <w:rsid w:val="004F0481"/>
    <w:rsid w:val="004F36F2"/>
    <w:rsid w:val="0050021D"/>
    <w:rsid w:val="0050034A"/>
    <w:rsid w:val="005076EF"/>
    <w:rsid w:val="00507F54"/>
    <w:rsid w:val="005104D2"/>
    <w:rsid w:val="00515596"/>
    <w:rsid w:val="00522ED9"/>
    <w:rsid w:val="00523AC1"/>
    <w:rsid w:val="00531076"/>
    <w:rsid w:val="00531C06"/>
    <w:rsid w:val="005351BB"/>
    <w:rsid w:val="00536F7C"/>
    <w:rsid w:val="00537731"/>
    <w:rsid w:val="00541372"/>
    <w:rsid w:val="005428FF"/>
    <w:rsid w:val="00552668"/>
    <w:rsid w:val="00555E6F"/>
    <w:rsid w:val="00561622"/>
    <w:rsid w:val="005619F1"/>
    <w:rsid w:val="0057030D"/>
    <w:rsid w:val="00573FF6"/>
    <w:rsid w:val="00574BD0"/>
    <w:rsid w:val="00574DCD"/>
    <w:rsid w:val="0058013F"/>
    <w:rsid w:val="00580362"/>
    <w:rsid w:val="005821B7"/>
    <w:rsid w:val="00584FF9"/>
    <w:rsid w:val="00585058"/>
    <w:rsid w:val="005A09C1"/>
    <w:rsid w:val="005A3088"/>
    <w:rsid w:val="005B5267"/>
    <w:rsid w:val="005B6143"/>
    <w:rsid w:val="005C0AF6"/>
    <w:rsid w:val="005C1774"/>
    <w:rsid w:val="005C29CA"/>
    <w:rsid w:val="005D0550"/>
    <w:rsid w:val="005D16B7"/>
    <w:rsid w:val="005D34EB"/>
    <w:rsid w:val="005D4347"/>
    <w:rsid w:val="005D4858"/>
    <w:rsid w:val="005D7220"/>
    <w:rsid w:val="005D7797"/>
    <w:rsid w:val="005E0DC1"/>
    <w:rsid w:val="005E124F"/>
    <w:rsid w:val="005E4311"/>
    <w:rsid w:val="005E56BC"/>
    <w:rsid w:val="005E691F"/>
    <w:rsid w:val="005F49E6"/>
    <w:rsid w:val="005F4CAD"/>
    <w:rsid w:val="005F4FE2"/>
    <w:rsid w:val="005F770D"/>
    <w:rsid w:val="006011C7"/>
    <w:rsid w:val="00601C61"/>
    <w:rsid w:val="0060255C"/>
    <w:rsid w:val="006029A4"/>
    <w:rsid w:val="006043D2"/>
    <w:rsid w:val="00606CF4"/>
    <w:rsid w:val="00607FC4"/>
    <w:rsid w:val="00610D9A"/>
    <w:rsid w:val="00610ED9"/>
    <w:rsid w:val="0061134D"/>
    <w:rsid w:val="00614FB6"/>
    <w:rsid w:val="00617B04"/>
    <w:rsid w:val="00617B57"/>
    <w:rsid w:val="00624525"/>
    <w:rsid w:val="00626E2A"/>
    <w:rsid w:val="00627FF8"/>
    <w:rsid w:val="00636A55"/>
    <w:rsid w:val="006446E9"/>
    <w:rsid w:val="00644CA0"/>
    <w:rsid w:val="00650C1B"/>
    <w:rsid w:val="00655715"/>
    <w:rsid w:val="006571CC"/>
    <w:rsid w:val="0066033A"/>
    <w:rsid w:val="006627D4"/>
    <w:rsid w:val="006679EF"/>
    <w:rsid w:val="006721DB"/>
    <w:rsid w:val="006749D8"/>
    <w:rsid w:val="00690549"/>
    <w:rsid w:val="0069327B"/>
    <w:rsid w:val="006A6B7B"/>
    <w:rsid w:val="006C13D2"/>
    <w:rsid w:val="006C16DC"/>
    <w:rsid w:val="006C3A68"/>
    <w:rsid w:val="006D3B87"/>
    <w:rsid w:val="006D6252"/>
    <w:rsid w:val="006D63DA"/>
    <w:rsid w:val="006E273F"/>
    <w:rsid w:val="006E599E"/>
    <w:rsid w:val="006E761B"/>
    <w:rsid w:val="006F485D"/>
    <w:rsid w:val="006F7AD6"/>
    <w:rsid w:val="00700F8F"/>
    <w:rsid w:val="007061E7"/>
    <w:rsid w:val="007064D5"/>
    <w:rsid w:val="0070684F"/>
    <w:rsid w:val="00714E80"/>
    <w:rsid w:val="0071510D"/>
    <w:rsid w:val="00715A83"/>
    <w:rsid w:val="00716728"/>
    <w:rsid w:val="00716EE4"/>
    <w:rsid w:val="00725E48"/>
    <w:rsid w:val="007268A2"/>
    <w:rsid w:val="00730C81"/>
    <w:rsid w:val="00746804"/>
    <w:rsid w:val="0075361F"/>
    <w:rsid w:val="007546A2"/>
    <w:rsid w:val="00755F07"/>
    <w:rsid w:val="00756754"/>
    <w:rsid w:val="0076463C"/>
    <w:rsid w:val="0076526C"/>
    <w:rsid w:val="007711E1"/>
    <w:rsid w:val="00773655"/>
    <w:rsid w:val="00780FA0"/>
    <w:rsid w:val="0078124F"/>
    <w:rsid w:val="00781CD4"/>
    <w:rsid w:val="00786861"/>
    <w:rsid w:val="00786D4D"/>
    <w:rsid w:val="00791EE2"/>
    <w:rsid w:val="00792274"/>
    <w:rsid w:val="00792556"/>
    <w:rsid w:val="007A6534"/>
    <w:rsid w:val="007B23FD"/>
    <w:rsid w:val="007B2935"/>
    <w:rsid w:val="007B3E83"/>
    <w:rsid w:val="007C5DC8"/>
    <w:rsid w:val="007C5FD5"/>
    <w:rsid w:val="007D5819"/>
    <w:rsid w:val="007E5104"/>
    <w:rsid w:val="007E7665"/>
    <w:rsid w:val="007E773E"/>
    <w:rsid w:val="007F46FF"/>
    <w:rsid w:val="007F5307"/>
    <w:rsid w:val="007F77C3"/>
    <w:rsid w:val="00801F8C"/>
    <w:rsid w:val="008030D5"/>
    <w:rsid w:val="0080597F"/>
    <w:rsid w:val="0080665E"/>
    <w:rsid w:val="00807C42"/>
    <w:rsid w:val="00815E30"/>
    <w:rsid w:val="00816E78"/>
    <w:rsid w:val="00820182"/>
    <w:rsid w:val="00820774"/>
    <w:rsid w:val="008213BE"/>
    <w:rsid w:val="008217B4"/>
    <w:rsid w:val="008222A1"/>
    <w:rsid w:val="008311FE"/>
    <w:rsid w:val="00846BE1"/>
    <w:rsid w:val="008603C6"/>
    <w:rsid w:val="00862DB6"/>
    <w:rsid w:val="00862ED1"/>
    <w:rsid w:val="00863BC4"/>
    <w:rsid w:val="00864054"/>
    <w:rsid w:val="008656A2"/>
    <w:rsid w:val="0087096A"/>
    <w:rsid w:val="00870E83"/>
    <w:rsid w:val="00872118"/>
    <w:rsid w:val="00873FBE"/>
    <w:rsid w:val="00874B60"/>
    <w:rsid w:val="00876090"/>
    <w:rsid w:val="008860E5"/>
    <w:rsid w:val="00894847"/>
    <w:rsid w:val="00895BA4"/>
    <w:rsid w:val="00897FF2"/>
    <w:rsid w:val="008A1B59"/>
    <w:rsid w:val="008A626B"/>
    <w:rsid w:val="008B3E4A"/>
    <w:rsid w:val="008B49DC"/>
    <w:rsid w:val="008B4A09"/>
    <w:rsid w:val="008C0989"/>
    <w:rsid w:val="008C27E9"/>
    <w:rsid w:val="008C2AB8"/>
    <w:rsid w:val="008C3AC4"/>
    <w:rsid w:val="008C3C9D"/>
    <w:rsid w:val="008D4ED6"/>
    <w:rsid w:val="008D66AC"/>
    <w:rsid w:val="008D674A"/>
    <w:rsid w:val="008D6BF0"/>
    <w:rsid w:val="008E06BD"/>
    <w:rsid w:val="008E21F7"/>
    <w:rsid w:val="008E3391"/>
    <w:rsid w:val="008E4D75"/>
    <w:rsid w:val="008F754B"/>
    <w:rsid w:val="009035BD"/>
    <w:rsid w:val="00905F9F"/>
    <w:rsid w:val="00906983"/>
    <w:rsid w:val="00914A7F"/>
    <w:rsid w:val="009203A3"/>
    <w:rsid w:val="009218EA"/>
    <w:rsid w:val="00921AE6"/>
    <w:rsid w:val="00922458"/>
    <w:rsid w:val="00924340"/>
    <w:rsid w:val="009259A4"/>
    <w:rsid w:val="0092640F"/>
    <w:rsid w:val="009271E9"/>
    <w:rsid w:val="00927C0D"/>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533CD"/>
    <w:rsid w:val="00957D88"/>
    <w:rsid w:val="00961048"/>
    <w:rsid w:val="00963DCB"/>
    <w:rsid w:val="00972DC9"/>
    <w:rsid w:val="00973E7E"/>
    <w:rsid w:val="00981034"/>
    <w:rsid w:val="00981E5E"/>
    <w:rsid w:val="00983807"/>
    <w:rsid w:val="009849DD"/>
    <w:rsid w:val="009914AD"/>
    <w:rsid w:val="009A01CD"/>
    <w:rsid w:val="009A2781"/>
    <w:rsid w:val="009A3EFB"/>
    <w:rsid w:val="009A4E15"/>
    <w:rsid w:val="009A546C"/>
    <w:rsid w:val="009B09D7"/>
    <w:rsid w:val="009B201B"/>
    <w:rsid w:val="009B22C2"/>
    <w:rsid w:val="009B3F3B"/>
    <w:rsid w:val="009B5749"/>
    <w:rsid w:val="009B7CA7"/>
    <w:rsid w:val="009B7D58"/>
    <w:rsid w:val="009C1D6F"/>
    <w:rsid w:val="009C3716"/>
    <w:rsid w:val="009C5EB5"/>
    <w:rsid w:val="009D130C"/>
    <w:rsid w:val="009E0201"/>
    <w:rsid w:val="009E5772"/>
    <w:rsid w:val="009F399E"/>
    <w:rsid w:val="009F4070"/>
    <w:rsid w:val="009F4923"/>
    <w:rsid w:val="009F6E4E"/>
    <w:rsid w:val="00A041C0"/>
    <w:rsid w:val="00A05F0A"/>
    <w:rsid w:val="00A1124D"/>
    <w:rsid w:val="00A15952"/>
    <w:rsid w:val="00A20049"/>
    <w:rsid w:val="00A2723F"/>
    <w:rsid w:val="00A35A56"/>
    <w:rsid w:val="00A41DD1"/>
    <w:rsid w:val="00A46D48"/>
    <w:rsid w:val="00A5178D"/>
    <w:rsid w:val="00A57AB7"/>
    <w:rsid w:val="00A70694"/>
    <w:rsid w:val="00A77824"/>
    <w:rsid w:val="00A82A8B"/>
    <w:rsid w:val="00A834D9"/>
    <w:rsid w:val="00A846C0"/>
    <w:rsid w:val="00A85BFD"/>
    <w:rsid w:val="00A8610E"/>
    <w:rsid w:val="00A86860"/>
    <w:rsid w:val="00A87C18"/>
    <w:rsid w:val="00A91D96"/>
    <w:rsid w:val="00A934F8"/>
    <w:rsid w:val="00A94CCD"/>
    <w:rsid w:val="00AA3247"/>
    <w:rsid w:val="00AA644E"/>
    <w:rsid w:val="00AB16CB"/>
    <w:rsid w:val="00AB6697"/>
    <w:rsid w:val="00AC091D"/>
    <w:rsid w:val="00AC31BC"/>
    <w:rsid w:val="00AD14CE"/>
    <w:rsid w:val="00AD33F3"/>
    <w:rsid w:val="00AD6438"/>
    <w:rsid w:val="00AD7568"/>
    <w:rsid w:val="00AE4E8F"/>
    <w:rsid w:val="00AE635F"/>
    <w:rsid w:val="00AE7B34"/>
    <w:rsid w:val="00B124E5"/>
    <w:rsid w:val="00B20668"/>
    <w:rsid w:val="00B20D11"/>
    <w:rsid w:val="00B23792"/>
    <w:rsid w:val="00B2382A"/>
    <w:rsid w:val="00B30A12"/>
    <w:rsid w:val="00B341EC"/>
    <w:rsid w:val="00B35A39"/>
    <w:rsid w:val="00B36D32"/>
    <w:rsid w:val="00B37064"/>
    <w:rsid w:val="00B4279B"/>
    <w:rsid w:val="00B4396C"/>
    <w:rsid w:val="00B46F19"/>
    <w:rsid w:val="00B52378"/>
    <w:rsid w:val="00B52953"/>
    <w:rsid w:val="00B53173"/>
    <w:rsid w:val="00B53BFA"/>
    <w:rsid w:val="00B61C1F"/>
    <w:rsid w:val="00B627F9"/>
    <w:rsid w:val="00B62E4C"/>
    <w:rsid w:val="00B63E6F"/>
    <w:rsid w:val="00B739FC"/>
    <w:rsid w:val="00B80D20"/>
    <w:rsid w:val="00B81903"/>
    <w:rsid w:val="00B82C5E"/>
    <w:rsid w:val="00B8546E"/>
    <w:rsid w:val="00B927F0"/>
    <w:rsid w:val="00B9453D"/>
    <w:rsid w:val="00BA2BD1"/>
    <w:rsid w:val="00BA717C"/>
    <w:rsid w:val="00BA7861"/>
    <w:rsid w:val="00BB1345"/>
    <w:rsid w:val="00BB1B3B"/>
    <w:rsid w:val="00BB5F65"/>
    <w:rsid w:val="00BC2113"/>
    <w:rsid w:val="00BC4EFA"/>
    <w:rsid w:val="00BD5D16"/>
    <w:rsid w:val="00BD7391"/>
    <w:rsid w:val="00BF4036"/>
    <w:rsid w:val="00C06FE2"/>
    <w:rsid w:val="00C10F77"/>
    <w:rsid w:val="00C12C46"/>
    <w:rsid w:val="00C13D6D"/>
    <w:rsid w:val="00C20B1D"/>
    <w:rsid w:val="00C20CB8"/>
    <w:rsid w:val="00C222AE"/>
    <w:rsid w:val="00C22E28"/>
    <w:rsid w:val="00C27A02"/>
    <w:rsid w:val="00C32397"/>
    <w:rsid w:val="00C33671"/>
    <w:rsid w:val="00C4037A"/>
    <w:rsid w:val="00C41806"/>
    <w:rsid w:val="00C525ED"/>
    <w:rsid w:val="00C532DC"/>
    <w:rsid w:val="00C55BD5"/>
    <w:rsid w:val="00C55D0E"/>
    <w:rsid w:val="00C60353"/>
    <w:rsid w:val="00C613A5"/>
    <w:rsid w:val="00C6196B"/>
    <w:rsid w:val="00C63131"/>
    <w:rsid w:val="00C65CD2"/>
    <w:rsid w:val="00C673D4"/>
    <w:rsid w:val="00C7198D"/>
    <w:rsid w:val="00C72EDC"/>
    <w:rsid w:val="00C7746C"/>
    <w:rsid w:val="00C804EC"/>
    <w:rsid w:val="00C8103C"/>
    <w:rsid w:val="00C8207D"/>
    <w:rsid w:val="00C83CFE"/>
    <w:rsid w:val="00C83DD1"/>
    <w:rsid w:val="00C852DC"/>
    <w:rsid w:val="00C8591A"/>
    <w:rsid w:val="00C85B32"/>
    <w:rsid w:val="00C861AF"/>
    <w:rsid w:val="00C87034"/>
    <w:rsid w:val="00C92DE3"/>
    <w:rsid w:val="00C9492B"/>
    <w:rsid w:val="00CA0768"/>
    <w:rsid w:val="00CA07D8"/>
    <w:rsid w:val="00CA1AA3"/>
    <w:rsid w:val="00CB13D5"/>
    <w:rsid w:val="00CB38A2"/>
    <w:rsid w:val="00CB4D9D"/>
    <w:rsid w:val="00CB7062"/>
    <w:rsid w:val="00CC1AE4"/>
    <w:rsid w:val="00CC66CB"/>
    <w:rsid w:val="00CC7422"/>
    <w:rsid w:val="00CD26F7"/>
    <w:rsid w:val="00CD616F"/>
    <w:rsid w:val="00CE1AF1"/>
    <w:rsid w:val="00CE49DD"/>
    <w:rsid w:val="00CE56BD"/>
    <w:rsid w:val="00CE7486"/>
    <w:rsid w:val="00CF0459"/>
    <w:rsid w:val="00CF3073"/>
    <w:rsid w:val="00CF4AC7"/>
    <w:rsid w:val="00CF6A52"/>
    <w:rsid w:val="00D00857"/>
    <w:rsid w:val="00D118B4"/>
    <w:rsid w:val="00D128F7"/>
    <w:rsid w:val="00D16A1B"/>
    <w:rsid w:val="00D24963"/>
    <w:rsid w:val="00D26E08"/>
    <w:rsid w:val="00D323D6"/>
    <w:rsid w:val="00D3375D"/>
    <w:rsid w:val="00D358D0"/>
    <w:rsid w:val="00D40343"/>
    <w:rsid w:val="00D44A7D"/>
    <w:rsid w:val="00D4526A"/>
    <w:rsid w:val="00D533FE"/>
    <w:rsid w:val="00D613E2"/>
    <w:rsid w:val="00D6166C"/>
    <w:rsid w:val="00D62846"/>
    <w:rsid w:val="00D7194B"/>
    <w:rsid w:val="00D7655E"/>
    <w:rsid w:val="00D80C02"/>
    <w:rsid w:val="00D958EE"/>
    <w:rsid w:val="00D964F7"/>
    <w:rsid w:val="00DA5AFB"/>
    <w:rsid w:val="00DA7295"/>
    <w:rsid w:val="00DB00E5"/>
    <w:rsid w:val="00DB2153"/>
    <w:rsid w:val="00DB3D7A"/>
    <w:rsid w:val="00DB4550"/>
    <w:rsid w:val="00DB66F8"/>
    <w:rsid w:val="00DC1F88"/>
    <w:rsid w:val="00DC2FA7"/>
    <w:rsid w:val="00DC44EC"/>
    <w:rsid w:val="00DC79BC"/>
    <w:rsid w:val="00DD02E4"/>
    <w:rsid w:val="00DD31D5"/>
    <w:rsid w:val="00DD4E17"/>
    <w:rsid w:val="00DD651D"/>
    <w:rsid w:val="00DD74A5"/>
    <w:rsid w:val="00DD7D64"/>
    <w:rsid w:val="00DE14E1"/>
    <w:rsid w:val="00DE3C09"/>
    <w:rsid w:val="00E06E68"/>
    <w:rsid w:val="00E11D3C"/>
    <w:rsid w:val="00E13237"/>
    <w:rsid w:val="00E160CA"/>
    <w:rsid w:val="00E219D1"/>
    <w:rsid w:val="00E22BDF"/>
    <w:rsid w:val="00E26FD5"/>
    <w:rsid w:val="00E4189C"/>
    <w:rsid w:val="00E50C59"/>
    <w:rsid w:val="00E540DF"/>
    <w:rsid w:val="00E57042"/>
    <w:rsid w:val="00E60C54"/>
    <w:rsid w:val="00E64F6A"/>
    <w:rsid w:val="00E64F92"/>
    <w:rsid w:val="00E657B2"/>
    <w:rsid w:val="00E669EA"/>
    <w:rsid w:val="00E708F3"/>
    <w:rsid w:val="00E729F3"/>
    <w:rsid w:val="00E75CB7"/>
    <w:rsid w:val="00E80F66"/>
    <w:rsid w:val="00E811A0"/>
    <w:rsid w:val="00E82509"/>
    <w:rsid w:val="00E827AF"/>
    <w:rsid w:val="00E828E7"/>
    <w:rsid w:val="00E83887"/>
    <w:rsid w:val="00E84DAD"/>
    <w:rsid w:val="00EA1FF5"/>
    <w:rsid w:val="00EA75B9"/>
    <w:rsid w:val="00EB0EA3"/>
    <w:rsid w:val="00EB6106"/>
    <w:rsid w:val="00EC25FA"/>
    <w:rsid w:val="00ED0219"/>
    <w:rsid w:val="00ED714F"/>
    <w:rsid w:val="00EF6299"/>
    <w:rsid w:val="00F00C06"/>
    <w:rsid w:val="00F03166"/>
    <w:rsid w:val="00F0346E"/>
    <w:rsid w:val="00F112B4"/>
    <w:rsid w:val="00F121E5"/>
    <w:rsid w:val="00F12CA2"/>
    <w:rsid w:val="00F13D38"/>
    <w:rsid w:val="00F13FF6"/>
    <w:rsid w:val="00F2092A"/>
    <w:rsid w:val="00F20AED"/>
    <w:rsid w:val="00F212B8"/>
    <w:rsid w:val="00F22037"/>
    <w:rsid w:val="00F26611"/>
    <w:rsid w:val="00F27579"/>
    <w:rsid w:val="00F376EA"/>
    <w:rsid w:val="00F42F01"/>
    <w:rsid w:val="00F45B37"/>
    <w:rsid w:val="00F473E3"/>
    <w:rsid w:val="00F52412"/>
    <w:rsid w:val="00F53C36"/>
    <w:rsid w:val="00F576EC"/>
    <w:rsid w:val="00F622C5"/>
    <w:rsid w:val="00F65E64"/>
    <w:rsid w:val="00F70E04"/>
    <w:rsid w:val="00F72935"/>
    <w:rsid w:val="00F835F4"/>
    <w:rsid w:val="00F83D92"/>
    <w:rsid w:val="00F85B08"/>
    <w:rsid w:val="00F8756A"/>
    <w:rsid w:val="00F8756C"/>
    <w:rsid w:val="00F90572"/>
    <w:rsid w:val="00F92275"/>
    <w:rsid w:val="00FA09A7"/>
    <w:rsid w:val="00FB11FF"/>
    <w:rsid w:val="00FC2270"/>
    <w:rsid w:val="00FD015B"/>
    <w:rsid w:val="00FD3644"/>
    <w:rsid w:val="00FD5B6C"/>
    <w:rsid w:val="00FD7AC6"/>
    <w:rsid w:val="00FE2529"/>
    <w:rsid w:val="00FE25FC"/>
    <w:rsid w:val="00FE6865"/>
    <w:rsid w:val="00FE7D0D"/>
    <w:rsid w:val="00FF09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E2D45"/>
  <w15:docId w15:val="{61331754-9E24-4306-9D51-3EC80D4D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6538A"/>
    <w:pPr>
      <w:tabs>
        <w:tab w:val="center" w:pos="4419"/>
        <w:tab w:val="right" w:pos="8838"/>
      </w:tabs>
    </w:pPr>
  </w:style>
  <w:style w:type="character" w:customStyle="1" w:styleId="PiedepginaCar">
    <w:name w:val="Pie de página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Textodeglobo">
    <w:name w:val="Balloon Text"/>
    <w:basedOn w:val="Normal"/>
    <w:link w:val="TextodegloboCar"/>
    <w:uiPriority w:val="99"/>
    <w:semiHidden/>
    <w:unhideWhenUsed/>
    <w:rsid w:val="00321E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1E10"/>
    <w:rPr>
      <w:rFonts w:ascii="Segoe UI" w:eastAsia="Times New Roman" w:hAnsi="Segoe UI" w:cs="Segoe UI"/>
      <w:sz w:val="18"/>
      <w:szCs w:val="18"/>
      <w:lang w:val="es-ES" w:eastAsia="es-ES"/>
    </w:rPr>
  </w:style>
  <w:style w:type="character" w:styleId="nfasis">
    <w:name w:val="Emphasis"/>
    <w:basedOn w:val="Fuentedeprrafopredeter"/>
    <w:uiPriority w:val="20"/>
    <w:qFormat/>
    <w:rsid w:val="00C222AE"/>
    <w:rPr>
      <w:i/>
      <w:iCs/>
    </w:rPr>
  </w:style>
  <w:style w:type="paragraph" w:styleId="Sinespaciado">
    <w:name w:val="No Spacing"/>
    <w:link w:val="SinespaciadoCar"/>
    <w:uiPriority w:val="1"/>
    <w:qFormat/>
    <w:rsid w:val="0050021D"/>
    <w:pPr>
      <w:spacing w:after="0" w:line="240" w:lineRule="auto"/>
    </w:pPr>
  </w:style>
  <w:style w:type="character" w:customStyle="1" w:styleId="SinespaciadoCar">
    <w:name w:val="Sin espaciado Car"/>
    <w:link w:val="Sinespaciado"/>
    <w:uiPriority w:val="1"/>
    <w:locked/>
    <w:rsid w:val="00500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516">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697661861">
      <w:bodyDiv w:val="1"/>
      <w:marLeft w:val="0"/>
      <w:marRight w:val="0"/>
      <w:marTop w:val="0"/>
      <w:marBottom w:val="0"/>
      <w:divBdr>
        <w:top w:val="none" w:sz="0" w:space="0" w:color="auto"/>
        <w:left w:val="none" w:sz="0" w:space="0" w:color="auto"/>
        <w:bottom w:val="none" w:sz="0" w:space="0" w:color="auto"/>
        <w:right w:val="none" w:sz="0" w:space="0" w:color="auto"/>
      </w:divBdr>
    </w:div>
    <w:div w:id="730038080">
      <w:bodyDiv w:val="1"/>
      <w:marLeft w:val="0"/>
      <w:marRight w:val="0"/>
      <w:marTop w:val="0"/>
      <w:marBottom w:val="0"/>
      <w:divBdr>
        <w:top w:val="none" w:sz="0" w:space="0" w:color="auto"/>
        <w:left w:val="none" w:sz="0" w:space="0" w:color="auto"/>
        <w:bottom w:val="none" w:sz="0" w:space="0" w:color="auto"/>
        <w:right w:val="none" w:sz="0" w:space="0" w:color="auto"/>
      </w:divBdr>
    </w:div>
    <w:div w:id="1030301491">
      <w:bodyDiv w:val="1"/>
      <w:marLeft w:val="0"/>
      <w:marRight w:val="0"/>
      <w:marTop w:val="0"/>
      <w:marBottom w:val="0"/>
      <w:divBdr>
        <w:top w:val="none" w:sz="0" w:space="0" w:color="auto"/>
        <w:left w:val="none" w:sz="0" w:space="0" w:color="auto"/>
        <w:bottom w:val="none" w:sz="0" w:space="0" w:color="auto"/>
        <w:right w:val="none" w:sz="0" w:space="0" w:color="auto"/>
      </w:divBdr>
    </w:div>
    <w:div w:id="1919513886">
      <w:bodyDiv w:val="1"/>
      <w:marLeft w:val="0"/>
      <w:marRight w:val="0"/>
      <w:marTop w:val="0"/>
      <w:marBottom w:val="0"/>
      <w:divBdr>
        <w:top w:val="none" w:sz="0" w:space="0" w:color="auto"/>
        <w:left w:val="none" w:sz="0" w:space="0" w:color="auto"/>
        <w:bottom w:val="none" w:sz="0" w:space="0" w:color="auto"/>
        <w:right w:val="none" w:sz="0" w:space="0" w:color="auto"/>
      </w:divBdr>
    </w:div>
    <w:div w:id="19790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4730-1FAE-45AD-8B25-894B1170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963</Words>
  <Characters>5300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14</cp:revision>
  <cp:lastPrinted>2010-06-08T23:09:00Z</cp:lastPrinted>
  <dcterms:created xsi:type="dcterms:W3CDTF">2025-11-14T20:40:00Z</dcterms:created>
  <dcterms:modified xsi:type="dcterms:W3CDTF">2026-02-12T14:19:00Z</dcterms:modified>
</cp:coreProperties>
</file>